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118CF749" w14:textId="77777777" w:rsidR="0064352D" w:rsidRPr="00C9448B" w:rsidRDefault="0064352D" w:rsidP="001124FE"/>
        <w:p w14:paraId="67F76EA7" w14:textId="77777777" w:rsidR="002C79C0" w:rsidRDefault="002C79C0" w:rsidP="0074525E">
          <w:pPr>
            <w:pStyle w:val="Rapportrubrik1"/>
            <w:sectPr w:rsidR="002C79C0" w:rsidSect="002C79C0">
              <w:type w:val="continuous"/>
              <w:pgSz w:w="11906" w:h="16838" w:code="9"/>
              <w:pgMar w:top="1945" w:right="1418" w:bottom="1418" w:left="1418" w:header="794" w:footer="709" w:gutter="0"/>
              <w:cols w:space="708"/>
              <w:docGrid w:linePitch="360"/>
            </w:sectPr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14:paraId="11B3C8F6" w14:textId="77777777" w:rsidTr="00584E77">
            <w:trPr>
              <w:trHeight w:val="1871"/>
            </w:trPr>
            <w:tc>
              <w:tcPr>
                <w:tcW w:w="7643" w:type="dxa"/>
              </w:tcPr>
              <w:p w14:paraId="1A5CF348" w14:textId="3EB5D412" w:rsidR="0064352D" w:rsidRDefault="0074525E" w:rsidP="0074525E">
                <w:pPr>
                  <w:pStyle w:val="Rapportrubrik1"/>
                </w:pPr>
                <w:r>
                  <w:t xml:space="preserve">MALL Aktiviteter </w:t>
                </w:r>
                <w:r w:rsidR="00343370">
                  <w:t>20xx</w:t>
                </w:r>
                <w:r>
                  <w:t xml:space="preserve"> (plan </w:t>
                </w:r>
                <w:r w:rsidR="006E13F5">
                  <w:t>20</w:t>
                </w:r>
                <w:r w:rsidR="00343370">
                  <w:t>xx</w:t>
                </w:r>
                <w:r w:rsidR="006E13F5">
                  <w:t>–20</w:t>
                </w:r>
                <w:r w:rsidR="00343370">
                  <w:t>xx</w:t>
                </w:r>
                <w:r w:rsidR="00FC1035">
                  <w:t xml:space="preserve">) </w:t>
                </w:r>
              </w:p>
              <w:p w14:paraId="7AEDD93C" w14:textId="77777777" w:rsidR="00470C15" w:rsidRDefault="00470C15" w:rsidP="003C293F">
                <w:pPr>
                  <w:pStyle w:val="Rapportrubrik1"/>
                </w:pPr>
                <w:r>
                  <w:t>In</w:t>
                </w:r>
                <w:r w:rsidR="003C293F">
                  <w:t>s</w:t>
                </w:r>
                <w:r>
                  <w:t>t</w:t>
                </w:r>
                <w:r w:rsidR="003C293F">
                  <w:t>itu</w:t>
                </w:r>
                <w:r>
                  <w:t>tion</w:t>
                </w:r>
                <w:r w:rsidR="003C293F">
                  <w:t>s</w:t>
                </w:r>
                <w:r>
                  <w:t>- och avdelningsnivå</w:t>
                </w:r>
              </w:p>
            </w:tc>
          </w:tr>
          <w:tr w:rsidR="0064352D" w14:paraId="25F25541" w14:textId="77777777" w:rsidTr="00584E77">
            <w:trPr>
              <w:trHeight w:val="2155"/>
            </w:trPr>
            <w:tc>
              <w:tcPr>
                <w:tcW w:w="7643" w:type="dxa"/>
              </w:tcPr>
              <w:p w14:paraId="39314A14" w14:textId="60958C2E" w:rsidR="00BE645F" w:rsidRPr="00AD5357" w:rsidRDefault="00AE495E" w:rsidP="00BE645F">
                <w:pPr>
                  <w:pStyle w:val="Rapportrubrik3"/>
                  <w:spacing w:line="240" w:lineRule="auto"/>
                  <w:rPr>
                    <w:rFonts w:asciiTheme="minorHAnsi" w:hAnsiTheme="minorHAnsi"/>
                    <w:sz w:val="22"/>
                  </w:rPr>
                </w:pPr>
                <w:r w:rsidRPr="00BE645F">
                  <w:rPr>
                    <w:rFonts w:asciiTheme="minorHAnsi" w:hAnsiTheme="minorHAnsi"/>
                    <w:sz w:val="22"/>
                  </w:rPr>
                  <w:t>Info. om mallen:</w:t>
                </w:r>
                <w:r w:rsidR="00DD236C" w:rsidRPr="00BE645F">
                  <w:rPr>
                    <w:rFonts w:asciiTheme="minorHAnsi" w:hAnsiTheme="minorHAnsi"/>
                    <w:sz w:val="22"/>
                  </w:rPr>
                  <w:t xml:space="preserve"> </w:t>
                </w:r>
                <w:r w:rsidR="00BE645F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Mallen är framtagen för att användas av </w:t>
                </w:r>
                <w:r w:rsidR="00C001E2">
                  <w:rPr>
                    <w:rFonts w:asciiTheme="minorHAnsi" w:hAnsiTheme="minorHAnsi"/>
                    <w:b w:val="0"/>
                    <w:sz w:val="22"/>
                  </w:rPr>
                  <w:t>institutioner</w:t>
                </w:r>
                <w:r w:rsidR="00BE645F">
                  <w:rPr>
                    <w:rFonts w:asciiTheme="minorHAnsi" w:hAnsiTheme="minorHAnsi"/>
                    <w:b w:val="0"/>
                    <w:sz w:val="22"/>
                  </w:rPr>
                  <w:t xml:space="preserve"> och avdelningar</w:t>
                </w:r>
                <w:r w:rsidR="00BE645F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 inför deras inspel till Mittuniversitetets verksamhetsplan</w:t>
                </w:r>
                <w:r w:rsidR="00BE645F">
                  <w:rPr>
                    <w:rFonts w:asciiTheme="minorHAnsi" w:hAnsiTheme="minorHAnsi"/>
                    <w:b w:val="0"/>
                    <w:sz w:val="22"/>
                  </w:rPr>
                  <w:t>/aktivitetsplan samt riskanalys</w:t>
                </w:r>
                <w:r w:rsidR="00BE645F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. </w:t>
                </w:r>
              </w:p>
              <w:p w14:paraId="48DCC952" w14:textId="3F84E716" w:rsidR="003A6501" w:rsidRDefault="00DD236C" w:rsidP="00BE645F">
                <w:pPr>
                  <w:pStyle w:val="Rapportrubrik3"/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 xml:space="preserve">Arbetet med att ta fram aktiviteterna utgår från hur institutionens eller avdelningens egna förutsättningar och intressen bäst kan tas tillvara för att bidra till </w:t>
                </w:r>
                <w:r w:rsidR="00D211CE">
                  <w:rPr>
                    <w:rFonts w:asciiTheme="minorHAnsi" w:hAnsiTheme="minorHAnsi"/>
                    <w:b w:val="0"/>
                    <w:sz w:val="22"/>
                  </w:rPr>
                  <w:t>Mittuniversitetets mål</w:t>
                </w:r>
                <w:r w:rsidR="00BE645F">
                  <w:rPr>
                    <w:rFonts w:asciiTheme="minorHAnsi" w:hAnsiTheme="minorHAnsi"/>
                    <w:b w:val="0"/>
                    <w:sz w:val="22"/>
                  </w:rPr>
                  <w:t xml:space="preserve">. </w:t>
                </w:r>
                <w:r w:rsidR="00BE645F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 </w:t>
                </w:r>
              </w:p>
              <w:p w14:paraId="59242674" w14:textId="77777777" w:rsidR="00BE645F" w:rsidRPr="00BE645F" w:rsidRDefault="00BE645F" w:rsidP="00BE645F">
                <w:pPr>
                  <w:pStyle w:val="Rapportrubrik3"/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AD5357">
                  <w:rPr>
                    <w:rFonts w:asciiTheme="minorHAnsi" w:hAnsiTheme="minorHAnsi"/>
                    <w:b w:val="0"/>
                    <w:sz w:val="22"/>
                  </w:rPr>
                  <w:t>Mer information finns på medarbetar</w:t>
                </w:r>
                <w:r w:rsidR="003A6501">
                  <w:rPr>
                    <w:rFonts w:asciiTheme="minorHAnsi" w:hAnsiTheme="minorHAnsi"/>
                    <w:b w:val="0"/>
                    <w:sz w:val="22"/>
                  </w:rPr>
                  <w:t>webben</w:t>
                </w:r>
                <w:r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 </w:t>
                </w:r>
                <w:hyperlink r:id="rId8" w:history="1">
                  <w:r w:rsidRPr="00AD5357">
                    <w:rPr>
                      <w:rStyle w:val="Hyperlnk"/>
                      <w:rFonts w:asciiTheme="minorHAnsi" w:hAnsiTheme="minorHAnsi"/>
                      <w:b w:val="0"/>
                      <w:sz w:val="22"/>
                      <w:szCs w:val="24"/>
                    </w:rPr>
                    <w:t>Verksamhetsplaneringsprocessen</w:t>
                  </w:r>
                </w:hyperlink>
                <w:r w:rsidRPr="00AD5357">
                  <w:rPr>
                    <w:rFonts w:asciiTheme="minorHAnsi" w:hAnsiTheme="minorHAnsi"/>
                    <w:b w:val="0"/>
                    <w:sz w:val="22"/>
                  </w:rPr>
                  <w:t>.</w:t>
                </w:r>
              </w:p>
              <w:p w14:paraId="3C8719B7" w14:textId="2E77B584" w:rsidR="00DD236C" w:rsidRPr="00343370" w:rsidRDefault="00DD236C" w:rsidP="00343370">
                <w:pPr>
                  <w:pStyle w:val="Rapportrubrik3"/>
                  <w:rPr>
                    <w:rFonts w:asciiTheme="minorHAnsi" w:hAnsiTheme="minorHAnsi"/>
                    <w:b w:val="0"/>
                    <w:sz w:val="22"/>
                  </w:rPr>
                </w:pP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>Förlag på aktiviteter</w:t>
                </w:r>
                <w:r w:rsidR="00D211CE">
                  <w:rPr>
                    <w:rFonts w:asciiTheme="minorHAnsi" w:hAnsiTheme="minorHAnsi"/>
                    <w:b w:val="0"/>
                    <w:sz w:val="22"/>
                  </w:rPr>
                  <w:t xml:space="preserve"> och risker</w:t>
                </w: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 xml:space="preserve"> som bör hanteras </w:t>
                </w:r>
                <w:r w:rsidR="000058EE" w:rsidRPr="00BE645F">
                  <w:rPr>
                    <w:rFonts w:asciiTheme="minorHAnsi" w:hAnsiTheme="minorHAnsi"/>
                    <w:b w:val="0"/>
                    <w:sz w:val="22"/>
                  </w:rPr>
                  <w:t>på övergripande nivå (fakultetsövergripande,</w:t>
                </w: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 xml:space="preserve"> förvaltningsövergripande</w:t>
                </w:r>
                <w:r w:rsidR="000058EE" w:rsidRPr="00BE645F">
                  <w:rPr>
                    <w:rFonts w:asciiTheme="minorHAnsi" w:hAnsiTheme="minorHAnsi"/>
                    <w:b w:val="0"/>
                    <w:sz w:val="22"/>
                  </w:rPr>
                  <w:t>, universitetsövergripande)</w:t>
                </w: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 xml:space="preserve"> lyfts </w:t>
                </w:r>
                <w:r w:rsidR="000058EE" w:rsidRPr="00BE645F">
                  <w:rPr>
                    <w:rFonts w:asciiTheme="minorHAnsi" w:hAnsiTheme="minorHAnsi"/>
                    <w:b w:val="0"/>
                    <w:sz w:val="22"/>
                  </w:rPr>
                  <w:t>under avsnitt 2</w:t>
                </w:r>
                <w:r w:rsidR="00D211CE">
                  <w:rPr>
                    <w:rFonts w:asciiTheme="minorHAnsi" w:hAnsiTheme="minorHAnsi"/>
                    <w:b w:val="0"/>
                    <w:sz w:val="22"/>
                  </w:rPr>
                  <w:t xml:space="preserve"> och 3</w:t>
                </w:r>
                <w:r w:rsidR="000058EE" w:rsidRPr="00BE645F">
                  <w:rPr>
                    <w:rFonts w:asciiTheme="minorHAnsi" w:hAnsiTheme="minorHAnsi"/>
                    <w:b w:val="0"/>
                    <w:sz w:val="22"/>
                  </w:rPr>
                  <w:t>.</w:t>
                </w:r>
                <w:r w:rsidRPr="00BE645F">
                  <w:rPr>
                    <w:rFonts w:asciiTheme="minorHAnsi" w:hAnsiTheme="minorHAnsi"/>
                    <w:b w:val="0"/>
                    <w:sz w:val="22"/>
                  </w:rPr>
                  <w:t xml:space="preserve"> Dessa aktiviteter kan exempelvis handla om sådant som faller utanför institutionens eller avdelningens ansvar eller mandat eller som får full effekt först då det genomförs på övergripande nivå. </w:t>
                </w:r>
                <w:r w:rsidR="00C001E2" w:rsidRPr="00C001E2">
                  <w:rPr>
                    <w:rFonts w:asciiTheme="minorHAnsi" w:hAnsiTheme="minorHAnsi"/>
                    <w:b w:val="0"/>
                    <w:sz w:val="22"/>
                  </w:rPr>
                  <w:t xml:space="preserve">Förslag på aktiviteter </w:t>
                </w:r>
                <w:r w:rsidR="00C001E2">
                  <w:rPr>
                    <w:rFonts w:asciiTheme="minorHAnsi" w:hAnsiTheme="minorHAnsi"/>
                    <w:b w:val="0"/>
                    <w:sz w:val="22"/>
                  </w:rPr>
                  <w:t xml:space="preserve">till övergripande nivå </w:t>
                </w:r>
                <w:r w:rsidR="00C001E2" w:rsidRPr="00C001E2">
                  <w:rPr>
                    <w:rFonts w:asciiTheme="minorHAnsi" w:hAnsiTheme="minorHAnsi"/>
                    <w:b w:val="0"/>
                    <w:sz w:val="22"/>
                  </w:rPr>
                  <w:t>bör vara avstämda med den som förslås vara ansvarig.</w:t>
                </w:r>
              </w:p>
            </w:tc>
          </w:tr>
        </w:tbl>
        <w:p w14:paraId="5CBD54EF" w14:textId="77777777" w:rsidR="0064352D" w:rsidRPr="0064352D" w:rsidRDefault="00E13E3B" w:rsidP="0064352D"/>
      </w:sdtContent>
    </w:sdt>
    <w:p w14:paraId="6670491C" w14:textId="77777777" w:rsidR="00D351BD" w:rsidRDefault="00BE5C4E" w:rsidP="00122600">
      <w:pPr>
        <w:pStyle w:val="Innehllsfrteckningsrubrik"/>
      </w:pPr>
      <w:r>
        <w:lastRenderedPageBreak/>
        <w:t>Innehåll</w:t>
      </w:r>
      <w:r w:rsidR="003E4E9A">
        <w:t>sförteckning</w:t>
      </w:r>
    </w:p>
    <w:p w14:paraId="7CB1B3C6" w14:textId="77777777" w:rsidR="00BE645F" w:rsidRDefault="00D351BD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r>
        <w:fldChar w:fldCharType="begin"/>
      </w:r>
      <w:r>
        <w:instrText xml:space="preserve"> TOC \o "1-</w:instrText>
      </w:r>
      <w:r w:rsidR="003031B5">
        <w:instrText>2</w:instrText>
      </w:r>
      <w:r>
        <w:instrText xml:space="preserve">" \h \z \u </w:instrText>
      </w:r>
      <w:r>
        <w:fldChar w:fldCharType="separate"/>
      </w:r>
      <w:hyperlink w:anchor="_Toc96509441" w:history="1">
        <w:r w:rsidR="00BE645F" w:rsidRPr="005D2452">
          <w:rPr>
            <w:rStyle w:val="Hyperlnk"/>
            <w:noProof/>
          </w:rPr>
          <w:t>1 Områden och aktiviteter på institutions-och avdelningsnivå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_Toc96509441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484AB5C1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2" w:history="1">
        <w:r w:rsidR="00BE645F" w:rsidRPr="005D2452">
          <w:rPr>
            <w:rStyle w:val="Hyperlnk"/>
            <w:noProof/>
          </w:rPr>
          <w:t>1.1 Hållbar utveckling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_Toc96509442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752B8CA5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3" w:history="1">
        <w:r w:rsidR="00BE645F" w:rsidRPr="005D2452">
          <w:rPr>
            <w:rStyle w:val="Hyperlnk"/>
            <w:noProof/>
          </w:rPr>
          <w:t>1.2 Relevans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_Toc96509443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22BF867C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4" w:history="1">
        <w:r w:rsidR="00BE645F" w:rsidRPr="005D2452">
          <w:rPr>
            <w:rStyle w:val="Hyperlnk"/>
            <w:noProof/>
          </w:rPr>
          <w:t>1.3 Attraktivitet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_Toc96509444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2897164B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5" w:history="1">
        <w:r w:rsidR="00BE645F" w:rsidRPr="005D2452">
          <w:rPr>
            <w:rStyle w:val="Hyperlnk"/>
            <w:noProof/>
          </w:rPr>
          <w:t>1.4 Kvalitet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_Toc96509445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473F0D84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6" w:history="1">
        <w:r w:rsidR="00BE645F" w:rsidRPr="005D2452">
          <w:rPr>
            <w:rStyle w:val="Hyperlnk"/>
            <w:noProof/>
          </w:rPr>
          <w:t>1.5 Ev. annat område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_Toc96509446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3</w:t>
        </w:r>
        <w:r w:rsidR="00BE645F">
          <w:rPr>
            <w:noProof/>
            <w:webHidden/>
          </w:rPr>
          <w:fldChar w:fldCharType="end"/>
        </w:r>
      </w:hyperlink>
    </w:p>
    <w:p w14:paraId="58F66BBA" w14:textId="77777777" w:rsidR="00BE645F" w:rsidRDefault="00E13E3B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96509447" w:history="1">
        <w:r w:rsidR="00BE645F" w:rsidRPr="005D2452">
          <w:rPr>
            <w:rStyle w:val="Hyperlnk"/>
            <w:noProof/>
          </w:rPr>
          <w:t>2 Förslag på områden och aktiviteter till övergripande nivå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_Toc96509447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008F9232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8" w:history="1">
        <w:r w:rsidR="00BE645F" w:rsidRPr="005D2452">
          <w:rPr>
            <w:rStyle w:val="Hyperlnk"/>
            <w:noProof/>
          </w:rPr>
          <w:t>2.1 Hållbar utveckling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_Toc96509448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1EE8308E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49" w:history="1">
        <w:r w:rsidR="00BE645F" w:rsidRPr="005D2452">
          <w:rPr>
            <w:rStyle w:val="Hyperlnk"/>
            <w:noProof/>
          </w:rPr>
          <w:t>2.2 Relevans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_Toc96509449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4C9B6764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50" w:history="1">
        <w:r w:rsidR="00BE645F" w:rsidRPr="005D2452">
          <w:rPr>
            <w:rStyle w:val="Hyperlnk"/>
            <w:noProof/>
          </w:rPr>
          <w:t>2.3 Attraktivitet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_Toc96509450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00DA4854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51" w:history="1">
        <w:r w:rsidR="00BE645F" w:rsidRPr="005D2452">
          <w:rPr>
            <w:rStyle w:val="Hyperlnk"/>
            <w:noProof/>
          </w:rPr>
          <w:t>2.4 Kvalitet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_Toc96509451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511563FB" w14:textId="77777777" w:rsidR="00BE645F" w:rsidRDefault="00E13E3B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52" w:history="1">
        <w:r w:rsidR="00BE645F" w:rsidRPr="005D2452">
          <w:rPr>
            <w:rStyle w:val="Hyperlnk"/>
            <w:noProof/>
          </w:rPr>
          <w:t>2.5 Ev. annat område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_Toc96509452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4</w:t>
        </w:r>
        <w:r w:rsidR="00BE645F">
          <w:rPr>
            <w:noProof/>
            <w:webHidden/>
          </w:rPr>
          <w:fldChar w:fldCharType="end"/>
        </w:r>
      </w:hyperlink>
    </w:p>
    <w:p w14:paraId="3CA96722" w14:textId="77777777" w:rsidR="00BE645F" w:rsidRDefault="00E13E3B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96509453" w:history="1">
        <w:r w:rsidR="00BE645F" w:rsidRPr="005D2452">
          <w:rPr>
            <w:rStyle w:val="Hyperlnk"/>
            <w:noProof/>
          </w:rPr>
          <w:t>3 Risker</w:t>
        </w:r>
        <w:r w:rsidR="00BE645F">
          <w:rPr>
            <w:noProof/>
            <w:webHidden/>
          </w:rPr>
          <w:tab/>
        </w:r>
        <w:r w:rsidR="00BE645F">
          <w:rPr>
            <w:noProof/>
            <w:webHidden/>
          </w:rPr>
          <w:fldChar w:fldCharType="begin"/>
        </w:r>
        <w:r w:rsidR="00BE645F">
          <w:rPr>
            <w:noProof/>
            <w:webHidden/>
          </w:rPr>
          <w:instrText xml:space="preserve"> PAGEREF _Toc96509453 \h </w:instrText>
        </w:r>
        <w:r w:rsidR="00BE645F">
          <w:rPr>
            <w:noProof/>
            <w:webHidden/>
          </w:rPr>
        </w:r>
        <w:r w:rsidR="00BE645F">
          <w:rPr>
            <w:noProof/>
            <w:webHidden/>
          </w:rPr>
          <w:fldChar w:fldCharType="separate"/>
        </w:r>
        <w:r w:rsidR="00BE645F">
          <w:rPr>
            <w:noProof/>
            <w:webHidden/>
          </w:rPr>
          <w:t>5</w:t>
        </w:r>
        <w:r w:rsidR="00BE645F">
          <w:rPr>
            <w:noProof/>
            <w:webHidden/>
          </w:rPr>
          <w:fldChar w:fldCharType="end"/>
        </w:r>
      </w:hyperlink>
    </w:p>
    <w:p w14:paraId="49E64537" w14:textId="77777777" w:rsidR="00D351BD" w:rsidRDefault="00D351BD" w:rsidP="003031B5">
      <w:r>
        <w:fldChar w:fldCharType="end"/>
      </w:r>
    </w:p>
    <w:p w14:paraId="21FA1BDC" w14:textId="77777777" w:rsidR="00D71510" w:rsidRDefault="00D71510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130B8856" w14:textId="77777777" w:rsidR="00F249F2" w:rsidRDefault="00F249F2" w:rsidP="00F249F2">
      <w:pPr>
        <w:pStyle w:val="Rubrik1numrerad"/>
      </w:pPr>
      <w:bookmarkStart w:id="0" w:name="_Toc96509441"/>
      <w:r>
        <w:lastRenderedPageBreak/>
        <w:t>Områden och aktiviteter på institutions-och avdelningsnivå</w:t>
      </w:r>
      <w:bookmarkEnd w:id="0"/>
      <w:r>
        <w:t xml:space="preserve"> </w:t>
      </w:r>
    </w:p>
    <w:p w14:paraId="3C7A14AC" w14:textId="77777777" w:rsidR="00CB6CE6" w:rsidRPr="00AD5357" w:rsidRDefault="00CB6CE6" w:rsidP="00CB6CE6">
      <w:pPr>
        <w:pStyle w:val="Normalindrag"/>
        <w:ind w:firstLine="0"/>
        <w:jc w:val="left"/>
      </w:pPr>
      <w:r w:rsidRPr="00AD5357">
        <w:t>Utifrån diskussioner och prioriteringar inom fakulteten respektive förvaltningen har följande aktiviteter beslutas på fakultets- och förvaltningsnivå.</w:t>
      </w:r>
    </w:p>
    <w:p w14:paraId="3277E4A0" w14:textId="77777777" w:rsidR="00CB6CE6" w:rsidRPr="00AD5357" w:rsidRDefault="00CB6CE6" w:rsidP="00CB6CE6">
      <w:pPr>
        <w:pStyle w:val="Rubrik2numrerad"/>
      </w:pPr>
      <w:bookmarkStart w:id="1" w:name="_Toc96507242"/>
      <w:bookmarkStart w:id="2" w:name="_Toc96509442"/>
      <w:r w:rsidRPr="00AD5357">
        <w:t>Hållbar utveckling</w:t>
      </w:r>
      <w:bookmarkEnd w:id="1"/>
      <w:bookmarkEnd w:id="2"/>
    </w:p>
    <w:p w14:paraId="3C8A954F" w14:textId="77777777" w:rsidR="00CB6CE6" w:rsidRPr="00AD5357" w:rsidRDefault="00CB6CE6" w:rsidP="00CB6CE6">
      <w:r w:rsidRPr="00AD5357">
        <w:t>Förslag på aktivitet och ansvariga.</w:t>
      </w:r>
    </w:p>
    <w:p w14:paraId="2B8EC09B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E7FCA09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77678F0" w14:textId="77777777" w:rsidR="00CB6CE6" w:rsidRPr="00AD5357" w:rsidRDefault="00CB6CE6" w:rsidP="00CB6CE6">
      <w:pPr>
        <w:pStyle w:val="Rubrik2numrerad"/>
      </w:pPr>
      <w:bookmarkStart w:id="3" w:name="_Toc96507243"/>
      <w:bookmarkStart w:id="4" w:name="_Toc96509443"/>
      <w:r w:rsidRPr="00AD5357">
        <w:t>Relevans</w:t>
      </w:r>
      <w:bookmarkEnd w:id="3"/>
      <w:bookmarkEnd w:id="4"/>
    </w:p>
    <w:p w14:paraId="070A5579" w14:textId="77777777" w:rsidR="00CB6CE6" w:rsidRPr="00AD5357" w:rsidRDefault="00CB6CE6" w:rsidP="00CB6CE6">
      <w:r w:rsidRPr="00AD5357">
        <w:t>Förslag på aktivitet och ansvariga.</w:t>
      </w:r>
    </w:p>
    <w:p w14:paraId="327DC4F8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DFA38E9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365FBD1" w14:textId="77777777" w:rsidR="00CB6CE6" w:rsidRPr="00AD5357" w:rsidRDefault="00CB6CE6" w:rsidP="00CB6CE6">
      <w:pPr>
        <w:pStyle w:val="Rubrik2numrerad"/>
      </w:pPr>
      <w:bookmarkStart w:id="5" w:name="_Toc96507244"/>
      <w:bookmarkStart w:id="6" w:name="_Toc96509444"/>
      <w:r w:rsidRPr="00AD5357">
        <w:t>Attraktivitet</w:t>
      </w:r>
      <w:bookmarkEnd w:id="5"/>
      <w:bookmarkEnd w:id="6"/>
    </w:p>
    <w:p w14:paraId="1A7A4B1B" w14:textId="77777777" w:rsidR="00CB6CE6" w:rsidRPr="00AD5357" w:rsidRDefault="00CB6CE6" w:rsidP="00CB6CE6">
      <w:r w:rsidRPr="00AD5357">
        <w:t>Förslag på aktivitet och ansvariga.</w:t>
      </w:r>
    </w:p>
    <w:p w14:paraId="60A01DE7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9A8119D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3FB8A70D" w14:textId="77777777" w:rsidR="00CB6CE6" w:rsidRPr="00AD5357" w:rsidRDefault="00CB6CE6" w:rsidP="00CB6CE6">
      <w:pPr>
        <w:pStyle w:val="Rubrik2numrerad"/>
      </w:pPr>
      <w:bookmarkStart w:id="7" w:name="_Toc96507245"/>
      <w:bookmarkStart w:id="8" w:name="_Toc96509445"/>
      <w:r w:rsidRPr="00AD5357">
        <w:t>Kvalitet</w:t>
      </w:r>
      <w:bookmarkEnd w:id="7"/>
      <w:bookmarkEnd w:id="8"/>
    </w:p>
    <w:p w14:paraId="29ED70AC" w14:textId="77777777" w:rsidR="00CB6CE6" w:rsidRPr="00AD5357" w:rsidRDefault="00CB6CE6" w:rsidP="00CB6CE6">
      <w:r w:rsidRPr="00AD5357">
        <w:t>Förslag på aktivitet och ansvariga.</w:t>
      </w:r>
    </w:p>
    <w:p w14:paraId="15082CE3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5AEAEFE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497C3EC2" w14:textId="77777777" w:rsidR="00CB6CE6" w:rsidRPr="00AD5357" w:rsidRDefault="00CB6CE6" w:rsidP="00CB6CE6">
      <w:pPr>
        <w:pStyle w:val="Rubrik2numrerad"/>
      </w:pPr>
      <w:r w:rsidRPr="00AD5357">
        <w:t xml:space="preserve"> </w:t>
      </w:r>
      <w:bookmarkStart w:id="9" w:name="_Toc96507246"/>
      <w:bookmarkStart w:id="10" w:name="_Toc96509446"/>
      <w:r w:rsidRPr="00AD5357">
        <w:t>Ev. annat område</w:t>
      </w:r>
      <w:bookmarkEnd w:id="9"/>
      <w:bookmarkEnd w:id="10"/>
    </w:p>
    <w:p w14:paraId="3E807550" w14:textId="77777777" w:rsidR="00CB6CE6" w:rsidRPr="00AD5357" w:rsidRDefault="00CB6CE6" w:rsidP="00CB6CE6">
      <w:r w:rsidRPr="00AD5357">
        <w:t>Förslag på aktivitet och ansvariga.</w:t>
      </w:r>
    </w:p>
    <w:p w14:paraId="612159EC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5783A719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0AE474A" w14:textId="77777777" w:rsidR="00CB6CE6" w:rsidRPr="00AD5357" w:rsidRDefault="00CB6CE6" w:rsidP="00CB6CE6">
      <w:pPr>
        <w:pStyle w:val="Rubrik1numrerad"/>
        <w:numPr>
          <w:ilvl w:val="0"/>
          <w:numId w:val="0"/>
        </w:numPr>
        <w:ind w:left="360" w:hanging="360"/>
      </w:pPr>
    </w:p>
    <w:p w14:paraId="68F1E096" w14:textId="77777777" w:rsidR="00CB6CE6" w:rsidRPr="00AD5357" w:rsidRDefault="00CB6CE6" w:rsidP="00CB6CE6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 w:rsidRPr="00AD5357">
        <w:br w:type="page"/>
      </w:r>
    </w:p>
    <w:p w14:paraId="2241BA54" w14:textId="77777777" w:rsidR="00CB6CE6" w:rsidRPr="00AD5357" w:rsidRDefault="00CB6CE6" w:rsidP="00CB6CE6">
      <w:pPr>
        <w:pStyle w:val="Rubrik1numrerad"/>
      </w:pPr>
      <w:bookmarkStart w:id="11" w:name="_Toc96507247"/>
      <w:bookmarkStart w:id="12" w:name="_Toc96509447"/>
      <w:r w:rsidRPr="00AD5357">
        <w:lastRenderedPageBreak/>
        <w:t>Förslag på områden och aktiviteter</w:t>
      </w:r>
      <w:bookmarkEnd w:id="11"/>
      <w:r>
        <w:t xml:space="preserve"> till övergripande nivå</w:t>
      </w:r>
      <w:bookmarkEnd w:id="12"/>
    </w:p>
    <w:p w14:paraId="4E95E834" w14:textId="77777777" w:rsidR="00CB6CE6" w:rsidRPr="00AD5357" w:rsidRDefault="00CB6CE6" w:rsidP="00CB6CE6">
      <w:pPr>
        <w:pStyle w:val="Normalindrag"/>
        <w:ind w:firstLine="0"/>
        <w:jc w:val="left"/>
      </w:pPr>
      <w:r w:rsidRPr="00CB6CE6">
        <w:t>Utifrån diskussioner och prioriteringar inom institutionen respektive avdelningen föreslås följande områden och aktiviteter till övergripande nivå. Antingen fakultets</w:t>
      </w:r>
      <w:r>
        <w:t xml:space="preserve"> </w:t>
      </w:r>
      <w:r w:rsidRPr="00CB6CE6">
        <w:t xml:space="preserve">- förvaltningsövergripande nivå eller universitetsövergripande nivå. </w:t>
      </w:r>
    </w:p>
    <w:p w14:paraId="67F9FBDD" w14:textId="77777777" w:rsidR="00CB6CE6" w:rsidRPr="00AD5357" w:rsidRDefault="00CB6CE6" w:rsidP="00CB6CE6">
      <w:pPr>
        <w:pStyle w:val="Rubrik2numrerad"/>
      </w:pPr>
      <w:bookmarkStart w:id="13" w:name="_Toc96507248"/>
      <w:bookmarkStart w:id="14" w:name="_Toc96509448"/>
      <w:r w:rsidRPr="00AD5357">
        <w:t>Hållbar utveckling</w:t>
      </w:r>
      <w:bookmarkEnd w:id="13"/>
      <w:bookmarkEnd w:id="14"/>
    </w:p>
    <w:p w14:paraId="7C40397A" w14:textId="77777777" w:rsidR="00CB6CE6" w:rsidRPr="00AD5357" w:rsidRDefault="00CB6CE6" w:rsidP="00CB6CE6">
      <w:r w:rsidRPr="00AD5357">
        <w:t>Förslag på aktivitet och ansvariga.</w:t>
      </w:r>
    </w:p>
    <w:p w14:paraId="46EA089D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B593C4A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496AA0C6" w14:textId="77777777" w:rsidR="00CB6CE6" w:rsidRPr="00AD5357" w:rsidRDefault="00CB6CE6" w:rsidP="00CB6CE6">
      <w:pPr>
        <w:pStyle w:val="Rubrik2numrerad"/>
      </w:pPr>
      <w:bookmarkStart w:id="15" w:name="_Toc96507249"/>
      <w:bookmarkStart w:id="16" w:name="_Toc96509449"/>
      <w:r w:rsidRPr="00AD5357">
        <w:t>Relevans</w:t>
      </w:r>
      <w:bookmarkEnd w:id="15"/>
      <w:bookmarkEnd w:id="16"/>
    </w:p>
    <w:p w14:paraId="1AA6A71F" w14:textId="77777777" w:rsidR="00CB6CE6" w:rsidRPr="00AD5357" w:rsidRDefault="00CB6CE6" w:rsidP="00CB6CE6">
      <w:r w:rsidRPr="00AD5357">
        <w:t>Förslag på aktivitet och ansvariga.</w:t>
      </w:r>
    </w:p>
    <w:p w14:paraId="066605EA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2FD9796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5AD0419" w14:textId="77777777" w:rsidR="00CB6CE6" w:rsidRPr="00AD5357" w:rsidRDefault="00CB6CE6" w:rsidP="00CB6CE6">
      <w:pPr>
        <w:pStyle w:val="Rubrik2numrerad"/>
      </w:pPr>
      <w:bookmarkStart w:id="17" w:name="_Toc96507250"/>
      <w:bookmarkStart w:id="18" w:name="_Toc96509450"/>
      <w:r w:rsidRPr="00AD5357">
        <w:t>Attraktivitet</w:t>
      </w:r>
      <w:bookmarkEnd w:id="17"/>
      <w:bookmarkEnd w:id="18"/>
    </w:p>
    <w:p w14:paraId="79830C2B" w14:textId="77777777" w:rsidR="00CB6CE6" w:rsidRPr="00AD5357" w:rsidRDefault="00CB6CE6" w:rsidP="00CB6CE6">
      <w:r w:rsidRPr="00AD5357">
        <w:t>Förslag på aktivitet och ansvariga.</w:t>
      </w:r>
    </w:p>
    <w:p w14:paraId="3376CCB3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6F97CB43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D5DBA2F" w14:textId="77777777" w:rsidR="00CB6CE6" w:rsidRPr="00AD5357" w:rsidRDefault="00CB6CE6" w:rsidP="00CB6CE6">
      <w:pPr>
        <w:pStyle w:val="Rubrik2numrerad"/>
      </w:pPr>
      <w:bookmarkStart w:id="19" w:name="_Toc96507251"/>
      <w:bookmarkStart w:id="20" w:name="_Toc96509451"/>
      <w:r w:rsidRPr="00AD5357">
        <w:t>Kvalitet</w:t>
      </w:r>
      <w:bookmarkEnd w:id="19"/>
      <w:bookmarkEnd w:id="20"/>
    </w:p>
    <w:p w14:paraId="7FBC65D3" w14:textId="77777777" w:rsidR="00CB6CE6" w:rsidRPr="00AD5357" w:rsidRDefault="00CB6CE6" w:rsidP="00CB6CE6">
      <w:r w:rsidRPr="00AD5357">
        <w:t>Förslag på aktivitet och ansvariga.</w:t>
      </w:r>
    </w:p>
    <w:p w14:paraId="799B5E2A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58785DAE" w14:textId="77777777" w:rsidR="00CB6CE6" w:rsidRPr="00AD5357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CAEAFC2" w14:textId="77777777" w:rsidR="00CB6CE6" w:rsidRPr="00AD5357" w:rsidRDefault="00CB6CE6" w:rsidP="00CB6CE6">
      <w:pPr>
        <w:pStyle w:val="Rubrik2numrerad"/>
      </w:pPr>
      <w:r w:rsidRPr="00AD5357">
        <w:t xml:space="preserve"> </w:t>
      </w:r>
      <w:bookmarkStart w:id="21" w:name="_Toc96507252"/>
      <w:bookmarkStart w:id="22" w:name="_Toc96509452"/>
      <w:r w:rsidRPr="00AD5357">
        <w:t>Ev. annat område</w:t>
      </w:r>
      <w:bookmarkEnd w:id="21"/>
      <w:bookmarkEnd w:id="22"/>
    </w:p>
    <w:p w14:paraId="74996D41" w14:textId="77777777" w:rsidR="00CB6CE6" w:rsidRPr="00AD5357" w:rsidRDefault="00CB6CE6" w:rsidP="00CB6CE6">
      <w:r w:rsidRPr="00AD5357">
        <w:t>Förslag på aktivitet och ansvariga.</w:t>
      </w:r>
    </w:p>
    <w:p w14:paraId="3D015744" w14:textId="77777777" w:rsidR="00CB6CE6" w:rsidRDefault="00CB6CE6" w:rsidP="00CB6CE6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77DA0E5" w14:textId="77777777" w:rsidR="00CB6CE6" w:rsidRPr="00E643E7" w:rsidRDefault="00CB6CE6" w:rsidP="00CB6CE6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  <w:r>
        <w:t xml:space="preserve"> </w:t>
      </w:r>
    </w:p>
    <w:p w14:paraId="29925F30" w14:textId="77777777" w:rsidR="00CB6CE6" w:rsidRDefault="00CB6CE6" w:rsidP="00CB6CE6"/>
    <w:p w14:paraId="6F5A80C9" w14:textId="77777777" w:rsidR="003E5A54" w:rsidRDefault="003E5A54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7E0BA2BD" w14:textId="77777777" w:rsidR="003E5A54" w:rsidRDefault="003E5A54" w:rsidP="003E5A54">
      <w:pPr>
        <w:pStyle w:val="Rubrik1numrerad"/>
      </w:pPr>
      <w:bookmarkStart w:id="23" w:name="_Toc96509453"/>
      <w:r>
        <w:lastRenderedPageBreak/>
        <w:t>Risker</w:t>
      </w:r>
      <w:bookmarkEnd w:id="23"/>
    </w:p>
    <w:p w14:paraId="08FBD64F" w14:textId="77777777" w:rsidR="003E5A54" w:rsidRDefault="00622937" w:rsidP="003E5A54">
      <w:r w:rsidRPr="00622937">
        <w:t xml:space="preserve">Väsentliga risker som bör hanteras övergripande dvs. inte kan åtgärdas inom institutionen/avdelningen skickas till </w:t>
      </w:r>
      <w:r>
        <w:t>fakultets- respektive förvaltningsnivå (fakultetskansli respektive ULS). Inkomna risker</w:t>
      </w:r>
      <w:r w:rsidR="003E5A54" w:rsidRPr="003E5A54">
        <w:t xml:space="preserve"> sammanställs och prioriteras på fakultets- respektive förvaltningsnivå</w:t>
      </w:r>
      <w:r w:rsidR="003E5A54">
        <w:t xml:space="preserve"> och utgör </w:t>
      </w:r>
      <w:r w:rsidR="003E5A54" w:rsidRPr="003E5A54">
        <w:t>underlag för övergripande riskanalys i Mittuniversitetets ledningsråd. De underliggande riskanalyserna hanteras inom respektive organisatorisk enhet.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AE1662" w14:paraId="0AF756B0" w14:textId="77777777" w:rsidTr="00AE1662">
        <w:tc>
          <w:tcPr>
            <w:tcW w:w="2265" w:type="dxa"/>
          </w:tcPr>
          <w:p w14:paraId="40594CE5" w14:textId="77777777" w:rsidR="00AE1662" w:rsidRPr="00BA6326" w:rsidRDefault="00AE1662" w:rsidP="00AE166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Risk</w:t>
            </w:r>
          </w:p>
        </w:tc>
        <w:tc>
          <w:tcPr>
            <w:tcW w:w="2265" w:type="dxa"/>
          </w:tcPr>
          <w:p w14:paraId="3CE7CFDF" w14:textId="77777777" w:rsidR="00AE1662" w:rsidRPr="00BA6326" w:rsidRDefault="00AE1662" w:rsidP="00AE166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På grund av (orsak)</w:t>
            </w:r>
          </w:p>
        </w:tc>
        <w:tc>
          <w:tcPr>
            <w:tcW w:w="2265" w:type="dxa"/>
          </w:tcPr>
          <w:p w14:paraId="241E8052" w14:textId="77777777" w:rsidR="00AE1662" w:rsidRDefault="00AE1662" w:rsidP="00AE166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Sannolikhet (1-4) /Konsekvens (1-4) </w:t>
            </w:r>
          </w:p>
        </w:tc>
        <w:tc>
          <w:tcPr>
            <w:tcW w:w="2265" w:type="dxa"/>
          </w:tcPr>
          <w:p w14:paraId="412D8941" w14:textId="77777777" w:rsidR="00AE1662" w:rsidRPr="00BA6326" w:rsidRDefault="00AE1662" w:rsidP="00AE166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Förslag på å</w:t>
            </w: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tgärd och ansvar</w:t>
            </w:r>
          </w:p>
        </w:tc>
      </w:tr>
      <w:tr w:rsidR="00AE1662" w14:paraId="30579CC0" w14:textId="77777777" w:rsidTr="00AE1662">
        <w:tc>
          <w:tcPr>
            <w:tcW w:w="2265" w:type="dxa"/>
          </w:tcPr>
          <w:p w14:paraId="4DC549C5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24ABEE5F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72E48A40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498ADFD" w14:textId="77777777" w:rsidR="00AE1662" w:rsidRDefault="00AE1662" w:rsidP="00AE1662">
            <w:pPr>
              <w:pStyle w:val="Normalindrag"/>
              <w:ind w:firstLine="0"/>
            </w:pPr>
          </w:p>
        </w:tc>
      </w:tr>
      <w:tr w:rsidR="00AE1662" w14:paraId="401512D4" w14:textId="77777777" w:rsidTr="00AE1662">
        <w:tc>
          <w:tcPr>
            <w:tcW w:w="2265" w:type="dxa"/>
          </w:tcPr>
          <w:p w14:paraId="2C25436C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2C985FA0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C994B59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FEC8772" w14:textId="77777777" w:rsidR="00AE1662" w:rsidRDefault="00AE1662" w:rsidP="00AE1662">
            <w:pPr>
              <w:pStyle w:val="Normalindrag"/>
              <w:ind w:firstLine="0"/>
            </w:pPr>
          </w:p>
        </w:tc>
      </w:tr>
      <w:tr w:rsidR="00AE1662" w14:paraId="74C3187D" w14:textId="77777777" w:rsidTr="00AE1662">
        <w:tc>
          <w:tcPr>
            <w:tcW w:w="2265" w:type="dxa"/>
          </w:tcPr>
          <w:p w14:paraId="038036DF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8C5B30B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372A962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0D8B5CB" w14:textId="77777777" w:rsidR="00AE1662" w:rsidRDefault="00AE1662" w:rsidP="00AE1662">
            <w:pPr>
              <w:pStyle w:val="Normalindrag"/>
              <w:ind w:firstLine="0"/>
            </w:pPr>
          </w:p>
        </w:tc>
      </w:tr>
      <w:tr w:rsidR="00AE1662" w14:paraId="47BE669B" w14:textId="77777777" w:rsidTr="00AE1662">
        <w:tc>
          <w:tcPr>
            <w:tcW w:w="2265" w:type="dxa"/>
          </w:tcPr>
          <w:p w14:paraId="7B8F7B40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A785297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5054CF1" w14:textId="77777777" w:rsidR="00AE1662" w:rsidRDefault="00AE1662" w:rsidP="00AE166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3765641C" w14:textId="77777777" w:rsidR="00AE1662" w:rsidRDefault="00AE1662" w:rsidP="00AE1662">
            <w:pPr>
              <w:pStyle w:val="Normalindrag"/>
              <w:ind w:firstLine="0"/>
            </w:pPr>
          </w:p>
        </w:tc>
      </w:tr>
    </w:tbl>
    <w:p w14:paraId="6E731961" w14:textId="77777777" w:rsidR="00AE1662" w:rsidRPr="00AE1662" w:rsidRDefault="00AE1662" w:rsidP="00AE1662">
      <w:pPr>
        <w:pStyle w:val="Normalindrag"/>
        <w:ind w:firstLine="0"/>
      </w:pPr>
    </w:p>
    <w:p w14:paraId="50A18C9B" w14:textId="77777777" w:rsidR="003E5A54" w:rsidRPr="003E5A54" w:rsidRDefault="003A6501" w:rsidP="003E5A54">
      <w:pPr>
        <w:pStyle w:val="Normalindrag"/>
      </w:pPr>
      <w:r>
        <w:rPr>
          <w:noProof/>
          <w:lang w:eastAsia="sv-SE"/>
        </w:rPr>
        <w:drawing>
          <wp:inline distT="0" distB="0" distL="0" distR="0" wp14:anchorId="4BF57A8B" wp14:editId="236AF5C6">
            <wp:extent cx="5759450" cy="3686810"/>
            <wp:effectExtent l="0" t="0" r="0" b="8890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0593" w14:textId="77777777" w:rsidR="00F249F2" w:rsidRDefault="00F249F2" w:rsidP="00F249F2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5C8ECE7D" w14:textId="77777777" w:rsidR="002C79C0" w:rsidRDefault="002C79C0" w:rsidP="00AE1662">
      <w:pPr>
        <w:pStyle w:val="Rubrik1numrerad"/>
        <w:numPr>
          <w:ilvl w:val="0"/>
          <w:numId w:val="0"/>
        </w:numPr>
        <w:ind w:left="360"/>
        <w:sectPr w:rsidR="002C79C0" w:rsidSect="002C79C0">
          <w:type w:val="continuous"/>
          <w:pgSz w:w="11906" w:h="16838" w:code="9"/>
          <w:pgMar w:top="1945" w:right="1418" w:bottom="1418" w:left="1418" w:header="794" w:footer="709" w:gutter="0"/>
          <w:cols w:space="708"/>
          <w:docGrid w:linePitch="360"/>
        </w:sectPr>
      </w:pPr>
      <w:bookmarkStart w:id="24" w:name="_Toc44054189"/>
    </w:p>
    <w:bookmarkEnd w:id="24"/>
    <w:p w14:paraId="6D947570" w14:textId="77777777" w:rsidR="00E74B2A" w:rsidRPr="00593697" w:rsidRDefault="00E74B2A" w:rsidP="00B36DDA"/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434"/>
        <w:gridCol w:w="3569"/>
        <w:gridCol w:w="4394"/>
      </w:tblGrid>
      <w:tr w:rsidR="00612D19" w:rsidRPr="00BA6326" w14:paraId="5F38D4D3" w14:textId="77777777" w:rsidTr="00612D19">
        <w:trPr>
          <w:trHeight w:val="20"/>
          <w:tblHeader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36A3655" w14:textId="77777777" w:rsidR="00612D19" w:rsidRPr="00BA6326" w:rsidRDefault="00612D19" w:rsidP="00CF43D8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Risk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CB34367" w14:textId="77777777" w:rsidR="00612D19" w:rsidRPr="00BA6326" w:rsidRDefault="00612D19" w:rsidP="00CF43D8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På grund av (orsak)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2DAF3F" w14:textId="77777777" w:rsidR="00612D19" w:rsidRDefault="00612D19" w:rsidP="000C1DBA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Sannolikhet (1-4) /Konsekvens (1-4) inför 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7A8BBC9" w14:textId="77777777" w:rsidR="00612D19" w:rsidRPr="00BA6326" w:rsidRDefault="00612D19" w:rsidP="00CF43D8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Förslag å</w:t>
            </w: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tgärder och övergripande ansvar</w:t>
            </w:r>
          </w:p>
        </w:tc>
      </w:tr>
      <w:tr w:rsidR="00612D19" w:rsidRPr="00BA6326" w14:paraId="6D67892E" w14:textId="77777777" w:rsidTr="00612D19">
        <w:trPr>
          <w:trHeight w:val="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2499572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BF6F460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C0A0F65" w14:textId="77777777" w:rsidR="00612D19" w:rsidRPr="00B723A4" w:rsidRDefault="00612D19" w:rsidP="00CF43D8">
            <w:pPr>
              <w:pStyle w:val="Normalindrag"/>
              <w:ind w:firstLine="0"/>
              <w:rPr>
                <w:sz w:val="19"/>
                <w:szCs w:val="19"/>
                <w:lang w:eastAsia="sv-S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8FD6DBC" w14:textId="77777777" w:rsidR="00612D19" w:rsidRPr="00B723A4" w:rsidRDefault="00612D19" w:rsidP="00CF43D8">
            <w:pPr>
              <w:pStyle w:val="Normalindrag"/>
              <w:ind w:firstLine="0"/>
              <w:rPr>
                <w:sz w:val="19"/>
                <w:szCs w:val="19"/>
                <w:lang w:eastAsia="sv-SE"/>
              </w:rPr>
            </w:pPr>
          </w:p>
        </w:tc>
      </w:tr>
      <w:tr w:rsidR="00612D19" w:rsidRPr="00BA6326" w14:paraId="4550CCA6" w14:textId="77777777" w:rsidTr="00612D19">
        <w:trPr>
          <w:trHeight w:val="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948" w14:textId="77777777" w:rsidR="00612D19" w:rsidRPr="00B853EB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2476" w14:textId="77777777" w:rsidR="00612D19" w:rsidRPr="00B853EB" w:rsidRDefault="00612D19" w:rsidP="00CF43D8">
            <w:pPr>
              <w:spacing w:before="0"/>
              <w:rPr>
                <w:lang w:eastAsia="sv-S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C3BE" w14:textId="77777777" w:rsidR="00612D19" w:rsidRPr="00B723A4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A0C" w14:textId="77777777" w:rsidR="00612D19" w:rsidRPr="00B723A4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  <w:p w14:paraId="7233B918" w14:textId="77777777" w:rsidR="00612D19" w:rsidRPr="00B723A4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</w:tc>
      </w:tr>
      <w:tr w:rsidR="00612D19" w:rsidRPr="00BA6326" w14:paraId="014325D2" w14:textId="77777777" w:rsidTr="00612D19">
        <w:trPr>
          <w:trHeight w:val="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7C7CAC1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color w:val="000000"/>
                <w:sz w:val="19"/>
                <w:szCs w:val="19"/>
                <w:lang w:eastAsia="sv-S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6BA2EC5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color w:val="000000"/>
                <w:sz w:val="19"/>
                <w:szCs w:val="19"/>
                <w:lang w:eastAsia="sv-S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FA1218B" w14:textId="77777777" w:rsidR="00612D19" w:rsidRPr="002E2BF4" w:rsidRDefault="00612D19" w:rsidP="00CF43D8">
            <w:pPr>
              <w:spacing w:before="0"/>
              <w:rPr>
                <w:lang w:eastAsia="sv-S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390B381" w14:textId="77777777" w:rsidR="00612D19" w:rsidRPr="002E2BF4" w:rsidRDefault="00612D19" w:rsidP="00CF43D8">
            <w:pPr>
              <w:spacing w:before="0"/>
              <w:rPr>
                <w:lang w:eastAsia="sv-SE"/>
              </w:rPr>
            </w:pPr>
          </w:p>
        </w:tc>
      </w:tr>
      <w:tr w:rsidR="00612D19" w:rsidRPr="00BA6326" w14:paraId="0A9DED24" w14:textId="77777777" w:rsidTr="00612D19">
        <w:trPr>
          <w:trHeight w:val="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A77C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EA62" w14:textId="77777777" w:rsidR="00612D19" w:rsidRPr="00FD7F2C" w:rsidRDefault="00612D19" w:rsidP="00CF43D8">
            <w:pPr>
              <w:spacing w:before="0"/>
              <w:rPr>
                <w:sz w:val="19"/>
                <w:szCs w:val="19"/>
                <w:lang w:eastAsia="sv-S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8A1" w14:textId="77777777" w:rsidR="00612D19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7493" w14:textId="77777777" w:rsidR="00612D19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  <w:p w14:paraId="42E5F2BC" w14:textId="77777777" w:rsidR="00612D19" w:rsidRPr="00B723A4" w:rsidRDefault="00612D19" w:rsidP="00CF43D8">
            <w:pPr>
              <w:pStyle w:val="Normalindrag"/>
              <w:rPr>
                <w:sz w:val="19"/>
                <w:szCs w:val="19"/>
                <w:lang w:eastAsia="sv-SE"/>
              </w:rPr>
            </w:pPr>
          </w:p>
        </w:tc>
      </w:tr>
      <w:tr w:rsidR="00612D19" w:rsidRPr="00BA6326" w14:paraId="78BC8539" w14:textId="77777777" w:rsidTr="00612D19">
        <w:trPr>
          <w:trHeight w:val="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79F458F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43C63BA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BCABC2B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BA1C984" w14:textId="77777777" w:rsidR="00612D19" w:rsidRPr="00B723A4" w:rsidRDefault="00612D19" w:rsidP="00CF43D8">
            <w:pPr>
              <w:spacing w:before="0"/>
              <w:rPr>
                <w:rFonts w:ascii="Palatino Linotype" w:eastAsia="Times New Roman" w:hAnsi="Palatino Linotype" w:cs="Calibri"/>
                <w:sz w:val="19"/>
                <w:szCs w:val="19"/>
                <w:lang w:eastAsia="sv-SE"/>
              </w:rPr>
            </w:pPr>
          </w:p>
        </w:tc>
      </w:tr>
    </w:tbl>
    <w:p w14:paraId="734FC55A" w14:textId="77777777" w:rsidR="00E74B2A" w:rsidRDefault="00E74B2A" w:rsidP="00E74B2A">
      <w:pPr>
        <w:pStyle w:val="Normalindrag"/>
        <w:ind w:firstLine="0"/>
        <w:sectPr w:rsidR="00E74B2A" w:rsidSect="002C79C0">
          <w:pgSz w:w="16838" w:h="11906" w:orient="landscape" w:code="9"/>
          <w:pgMar w:top="1418" w:right="1945" w:bottom="1418" w:left="1418" w:header="794" w:footer="709" w:gutter="0"/>
          <w:cols w:space="708"/>
          <w:docGrid w:linePitch="360"/>
        </w:sectPr>
      </w:pPr>
    </w:p>
    <w:p w14:paraId="56531264" w14:textId="77777777" w:rsidR="00E74B2A" w:rsidRPr="00E74B2A" w:rsidRDefault="00E74B2A" w:rsidP="00E74B2A"/>
    <w:sectPr w:rsidR="00E74B2A" w:rsidRPr="00E74B2A" w:rsidSect="002C7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418" w:right="1945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92D0" w14:textId="77777777" w:rsidR="008D6660" w:rsidRDefault="008D6660" w:rsidP="00E25647">
      <w:r>
        <w:separator/>
      </w:r>
    </w:p>
  </w:endnote>
  <w:endnote w:type="continuationSeparator" w:id="0">
    <w:p w14:paraId="602F804D" w14:textId="77777777" w:rsidR="008D6660" w:rsidRDefault="008D666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C12C" w14:textId="77777777" w:rsidR="008D6660" w:rsidRDefault="008D6660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FFDB26B" w14:textId="77777777" w:rsidR="008D6660" w:rsidRDefault="008D6660"/>
  <w:p w14:paraId="12B2690C" w14:textId="77777777" w:rsidR="008D6660" w:rsidRDefault="008D6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81D1" w14:textId="77777777" w:rsidR="008D6660" w:rsidRDefault="008D6660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91699">
      <w:rPr>
        <w:noProof/>
      </w:rPr>
      <w:t>6</w:t>
    </w:r>
    <w:r>
      <w:fldChar w:fldCharType="end"/>
    </w:r>
  </w:p>
  <w:p w14:paraId="11B50AA4" w14:textId="77777777" w:rsidR="008D6660" w:rsidRDefault="008D6660"/>
  <w:p w14:paraId="6965F5A4" w14:textId="77777777" w:rsidR="008D6660" w:rsidRDefault="008D66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03901"/>
      <w:docPartObj>
        <w:docPartGallery w:val="Page Numbers (Bottom of Page)"/>
        <w:docPartUnique/>
      </w:docPartObj>
    </w:sdtPr>
    <w:sdtEndPr/>
    <w:sdtContent>
      <w:p w14:paraId="1B934D29" w14:textId="77777777" w:rsidR="008D6660" w:rsidRDefault="008D6660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5E">
          <w:rPr>
            <w:noProof/>
          </w:rPr>
          <w:t>27</w:t>
        </w:r>
        <w:r>
          <w:fldChar w:fldCharType="end"/>
        </w:r>
      </w:p>
    </w:sdtContent>
  </w:sdt>
  <w:p w14:paraId="7D03ECA4" w14:textId="77777777" w:rsidR="008D6660" w:rsidRDefault="008D66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726" w14:textId="77777777" w:rsidR="008D6660" w:rsidRPr="001565B5" w:rsidRDefault="008D6660" w:rsidP="001565B5">
      <w:pPr>
        <w:pStyle w:val="Sidfot"/>
      </w:pPr>
    </w:p>
  </w:footnote>
  <w:footnote w:type="continuationSeparator" w:id="0">
    <w:p w14:paraId="1D6140B1" w14:textId="77777777" w:rsidR="008D6660" w:rsidRDefault="008D666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CF82" w14:textId="77777777" w:rsidR="008D6660" w:rsidRDefault="008D6660" w:rsidP="00516D46">
    <w:pPr>
      <w:pStyle w:val="Sidhuvud"/>
      <w:jc w:val="left"/>
    </w:pPr>
    <w:r>
      <w:t>Författare?</w:t>
    </w:r>
  </w:p>
  <w:p w14:paraId="78E67422" w14:textId="77777777" w:rsidR="008D6660" w:rsidRDefault="008D6660"/>
  <w:p w14:paraId="3C022840" w14:textId="77777777" w:rsidR="008D6660" w:rsidRDefault="008D6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9"/>
      <w:gridCol w:w="3980"/>
    </w:tblGrid>
    <w:tr w:rsidR="008D6660" w14:paraId="2900E3A2" w14:textId="77777777" w:rsidTr="00F249F2">
      <w:trPr>
        <w:trHeight w:val="258"/>
      </w:trPr>
      <w:tc>
        <w:tcPr>
          <w:tcW w:w="3979" w:type="dxa"/>
        </w:tcPr>
        <w:p w14:paraId="51B2D5FF" w14:textId="77777777" w:rsidR="008D6660" w:rsidRDefault="008D6660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980" w:type="dxa"/>
        </w:tcPr>
        <w:p w14:paraId="54C8736C" w14:textId="77777777" w:rsidR="008D6660" w:rsidRDefault="00E13E3B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2C79C0">
            <w:rPr>
              <w:noProof/>
            </w:rPr>
            <w:t>Institutions- och avdelningsnivå</w:t>
          </w:r>
          <w:r>
            <w:rPr>
              <w:noProof/>
            </w:rPr>
            <w:fldChar w:fldCharType="end"/>
          </w:r>
        </w:p>
      </w:tc>
    </w:tr>
  </w:tbl>
  <w:p w14:paraId="222978D3" w14:textId="77777777" w:rsidR="008D6660" w:rsidRDefault="008D6660">
    <w:pPr>
      <w:pStyle w:val="Sidhuvud"/>
    </w:pPr>
  </w:p>
  <w:p w14:paraId="2C0CE842" w14:textId="77777777" w:rsidR="008D6660" w:rsidRDefault="008D6660"/>
  <w:p w14:paraId="0636E8E6" w14:textId="77777777" w:rsidR="008D6660" w:rsidRDefault="008D6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8D6660" w14:paraId="7F998B1D" w14:textId="77777777" w:rsidTr="00EA3A35">
      <w:tc>
        <w:tcPr>
          <w:tcW w:w="3999" w:type="dxa"/>
        </w:tcPr>
        <w:p w14:paraId="598F5C7F" w14:textId="77777777" w:rsidR="008D6660" w:rsidRPr="00BA69B4" w:rsidRDefault="008D6660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6BDC5AF0" w14:textId="77777777" w:rsidR="008D6660" w:rsidRPr="00E90FF0" w:rsidRDefault="008D6660" w:rsidP="004F0FB9">
          <w:pPr>
            <w:pStyle w:val="Sidhuvud"/>
          </w:pPr>
        </w:p>
      </w:tc>
    </w:tr>
    <w:tr w:rsidR="008D6660" w14:paraId="3EB1AEE3" w14:textId="77777777" w:rsidTr="00EA3A35">
      <w:trPr>
        <w:trHeight w:val="1127"/>
      </w:trPr>
      <w:tc>
        <w:tcPr>
          <w:tcW w:w="3999" w:type="dxa"/>
        </w:tcPr>
        <w:p w14:paraId="407AE753" w14:textId="77777777" w:rsidR="008D6660" w:rsidRDefault="008D6660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>
            <w:rPr>
              <w:noProof/>
            </w:rPr>
            <w:t>2019-11-28</w:t>
          </w:r>
          <w:r>
            <w:rPr>
              <w:noProof/>
            </w:rPr>
            <w:fldChar w:fldCharType="end"/>
          </w:r>
        </w:p>
        <w:p w14:paraId="46092482" w14:textId="77777777" w:rsidR="008D6660" w:rsidRPr="000F60CF" w:rsidRDefault="008D6660" w:rsidP="001C2465">
          <w:pPr>
            <w:pStyle w:val="Sidhuvud"/>
            <w:spacing w:before="40"/>
            <w:jc w:val="left"/>
          </w:pPr>
          <w:r>
            <w:t>Universitetsledningens stab och ekonomiavdelningen</w:t>
          </w:r>
        </w:p>
        <w:p w14:paraId="67CA6265" w14:textId="77777777" w:rsidR="008D6660" w:rsidRDefault="008D6660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>: MIUN 2019/2192</w:t>
          </w:r>
        </w:p>
        <w:p w14:paraId="5A2DAE5B" w14:textId="77777777" w:rsidR="008D6660" w:rsidRDefault="008D6660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14:paraId="2586C7F4" w14:textId="77777777" w:rsidR="008D6660" w:rsidRDefault="008D6660" w:rsidP="004F0FB9">
          <w:pPr>
            <w:pStyle w:val="Sidhuvud"/>
            <w:rPr>
              <w:noProof/>
            </w:rPr>
          </w:pPr>
        </w:p>
      </w:tc>
    </w:tr>
  </w:tbl>
  <w:p w14:paraId="418F0CBD" w14:textId="77777777" w:rsidR="008D6660" w:rsidRDefault="008D66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FF03B91"/>
    <w:multiLevelType w:val="multilevel"/>
    <w:tmpl w:val="566E31A8"/>
    <w:numStyleLink w:val="Listformatpunktlista2"/>
  </w:abstractNum>
  <w:abstractNum w:abstractNumId="2" w15:restartNumberingAfterBreak="0">
    <w:nsid w:val="3C2B0666"/>
    <w:multiLevelType w:val="multilevel"/>
    <w:tmpl w:val="3EE8D168"/>
    <w:styleLink w:val="Listformatpunktlista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9F450A"/>
    <w:multiLevelType w:val="multilevel"/>
    <w:tmpl w:val="E7AC470C"/>
    <w:styleLink w:val="Listformatpunkt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A817D5"/>
    <w:multiLevelType w:val="multilevel"/>
    <w:tmpl w:val="4208B0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ind w:left="847" w:hanging="705"/>
      </w:pPr>
      <w:rPr>
        <w:rFonts w:hint="default"/>
        <w:b/>
        <w:color w:val="8080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103106"/>
    <w:multiLevelType w:val="multilevel"/>
    <w:tmpl w:val="08B0A642"/>
    <w:numStyleLink w:val="Listformatnumreraderubriker"/>
  </w:abstractNum>
  <w:abstractNum w:abstractNumId="6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C32ED0"/>
    <w:multiLevelType w:val="hybridMultilevel"/>
    <w:tmpl w:val="5A446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FD40A8"/>
    <w:multiLevelType w:val="hybridMultilevel"/>
    <w:tmpl w:val="3F5ABDF4"/>
    <w:lvl w:ilvl="0" w:tplc="041D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54744319">
    <w:abstractNumId w:val="8"/>
  </w:num>
  <w:num w:numId="2" w16cid:durableId="164587665">
    <w:abstractNumId w:val="6"/>
  </w:num>
  <w:num w:numId="3" w16cid:durableId="1695763920">
    <w:abstractNumId w:val="0"/>
  </w:num>
  <w:num w:numId="4" w16cid:durableId="1702778164">
    <w:abstractNumId w:val="1"/>
  </w:num>
  <w:num w:numId="5" w16cid:durableId="1810051578">
    <w:abstractNumId w:val="5"/>
  </w:num>
  <w:num w:numId="6" w16cid:durableId="1111168688">
    <w:abstractNumId w:val="4"/>
  </w:num>
  <w:num w:numId="7" w16cid:durableId="424308692">
    <w:abstractNumId w:val="3"/>
  </w:num>
  <w:num w:numId="8" w16cid:durableId="1916360556">
    <w:abstractNumId w:val="2"/>
  </w:num>
  <w:num w:numId="9" w16cid:durableId="1441219994">
    <w:abstractNumId w:val="9"/>
  </w:num>
  <w:num w:numId="10" w16cid:durableId="126499809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35"/>
    <w:rsid w:val="0000059E"/>
    <w:rsid w:val="000058EE"/>
    <w:rsid w:val="00007004"/>
    <w:rsid w:val="00011081"/>
    <w:rsid w:val="00031EFA"/>
    <w:rsid w:val="00037F5D"/>
    <w:rsid w:val="000603C7"/>
    <w:rsid w:val="000628B4"/>
    <w:rsid w:val="0006309D"/>
    <w:rsid w:val="000645ED"/>
    <w:rsid w:val="0006763E"/>
    <w:rsid w:val="00071318"/>
    <w:rsid w:val="00084CED"/>
    <w:rsid w:val="0008542F"/>
    <w:rsid w:val="00085FA0"/>
    <w:rsid w:val="00086297"/>
    <w:rsid w:val="0009688D"/>
    <w:rsid w:val="000A14E2"/>
    <w:rsid w:val="000A1CA1"/>
    <w:rsid w:val="000A3806"/>
    <w:rsid w:val="000A3AEE"/>
    <w:rsid w:val="000A3E56"/>
    <w:rsid w:val="000A455A"/>
    <w:rsid w:val="000A4BE9"/>
    <w:rsid w:val="000A55D3"/>
    <w:rsid w:val="000A6173"/>
    <w:rsid w:val="000B05BC"/>
    <w:rsid w:val="000C1DBA"/>
    <w:rsid w:val="000C2175"/>
    <w:rsid w:val="000C6524"/>
    <w:rsid w:val="000D742D"/>
    <w:rsid w:val="000D7444"/>
    <w:rsid w:val="000E3404"/>
    <w:rsid w:val="000E4BCF"/>
    <w:rsid w:val="000F046D"/>
    <w:rsid w:val="000F3C4A"/>
    <w:rsid w:val="000F60CF"/>
    <w:rsid w:val="001002AA"/>
    <w:rsid w:val="00100A59"/>
    <w:rsid w:val="00104EA7"/>
    <w:rsid w:val="00105F71"/>
    <w:rsid w:val="001124FE"/>
    <w:rsid w:val="00121AFC"/>
    <w:rsid w:val="00122600"/>
    <w:rsid w:val="0012289C"/>
    <w:rsid w:val="001245FD"/>
    <w:rsid w:val="00127C49"/>
    <w:rsid w:val="001404B3"/>
    <w:rsid w:val="00144BDF"/>
    <w:rsid w:val="001562AF"/>
    <w:rsid w:val="001565B5"/>
    <w:rsid w:val="00156F04"/>
    <w:rsid w:val="00157AF4"/>
    <w:rsid w:val="00160DC1"/>
    <w:rsid w:val="00165B16"/>
    <w:rsid w:val="001821F8"/>
    <w:rsid w:val="001827CD"/>
    <w:rsid w:val="0019145C"/>
    <w:rsid w:val="0019705E"/>
    <w:rsid w:val="00197D2B"/>
    <w:rsid w:val="001A0DAA"/>
    <w:rsid w:val="001A5440"/>
    <w:rsid w:val="001A7CA0"/>
    <w:rsid w:val="001C2465"/>
    <w:rsid w:val="001C7BDF"/>
    <w:rsid w:val="001D0582"/>
    <w:rsid w:val="001D1371"/>
    <w:rsid w:val="001D499C"/>
    <w:rsid w:val="001E2799"/>
    <w:rsid w:val="001E3B56"/>
    <w:rsid w:val="001E5DB9"/>
    <w:rsid w:val="001F0812"/>
    <w:rsid w:val="001F10BC"/>
    <w:rsid w:val="00205EB0"/>
    <w:rsid w:val="00206D9E"/>
    <w:rsid w:val="00207AF8"/>
    <w:rsid w:val="00217135"/>
    <w:rsid w:val="00231C16"/>
    <w:rsid w:val="00233015"/>
    <w:rsid w:val="002338ED"/>
    <w:rsid w:val="00236B22"/>
    <w:rsid w:val="00237D3F"/>
    <w:rsid w:val="0024689A"/>
    <w:rsid w:val="0024755B"/>
    <w:rsid w:val="00250733"/>
    <w:rsid w:val="00252003"/>
    <w:rsid w:val="00252650"/>
    <w:rsid w:val="0025345D"/>
    <w:rsid w:val="00254578"/>
    <w:rsid w:val="00256EC9"/>
    <w:rsid w:val="0026062D"/>
    <w:rsid w:val="0026527A"/>
    <w:rsid w:val="00270306"/>
    <w:rsid w:val="00273F34"/>
    <w:rsid w:val="00277C06"/>
    <w:rsid w:val="0028014C"/>
    <w:rsid w:val="0028166F"/>
    <w:rsid w:val="00283F2F"/>
    <w:rsid w:val="002965D7"/>
    <w:rsid w:val="00297549"/>
    <w:rsid w:val="0029770C"/>
    <w:rsid w:val="002A7BDF"/>
    <w:rsid w:val="002B401C"/>
    <w:rsid w:val="002B4EED"/>
    <w:rsid w:val="002B6C29"/>
    <w:rsid w:val="002C0366"/>
    <w:rsid w:val="002C3C0B"/>
    <w:rsid w:val="002C71F6"/>
    <w:rsid w:val="002C79C0"/>
    <w:rsid w:val="002D0679"/>
    <w:rsid w:val="002D1A6B"/>
    <w:rsid w:val="002D3175"/>
    <w:rsid w:val="002D40C3"/>
    <w:rsid w:val="002E6838"/>
    <w:rsid w:val="002F0DE0"/>
    <w:rsid w:val="002F2E8B"/>
    <w:rsid w:val="002F4D8C"/>
    <w:rsid w:val="002F6692"/>
    <w:rsid w:val="003031B5"/>
    <w:rsid w:val="003041AB"/>
    <w:rsid w:val="003042DB"/>
    <w:rsid w:val="00305B64"/>
    <w:rsid w:val="00305F95"/>
    <w:rsid w:val="0032440E"/>
    <w:rsid w:val="00324BF1"/>
    <w:rsid w:val="003313CD"/>
    <w:rsid w:val="00332B42"/>
    <w:rsid w:val="00333568"/>
    <w:rsid w:val="00333F32"/>
    <w:rsid w:val="003343DF"/>
    <w:rsid w:val="00341561"/>
    <w:rsid w:val="00342BAB"/>
    <w:rsid w:val="00342D40"/>
    <w:rsid w:val="00343370"/>
    <w:rsid w:val="00343B38"/>
    <w:rsid w:val="00345378"/>
    <w:rsid w:val="00350414"/>
    <w:rsid w:val="00361AB1"/>
    <w:rsid w:val="00363BD9"/>
    <w:rsid w:val="003677FC"/>
    <w:rsid w:val="00371B00"/>
    <w:rsid w:val="0037202E"/>
    <w:rsid w:val="00375386"/>
    <w:rsid w:val="00380CB9"/>
    <w:rsid w:val="00383D17"/>
    <w:rsid w:val="00387382"/>
    <w:rsid w:val="00392377"/>
    <w:rsid w:val="003A4AFB"/>
    <w:rsid w:val="003A6501"/>
    <w:rsid w:val="003B228A"/>
    <w:rsid w:val="003C19D5"/>
    <w:rsid w:val="003C293F"/>
    <w:rsid w:val="003C763B"/>
    <w:rsid w:val="003D177D"/>
    <w:rsid w:val="003D4434"/>
    <w:rsid w:val="003E4BDD"/>
    <w:rsid w:val="003E4E9A"/>
    <w:rsid w:val="003E5A54"/>
    <w:rsid w:val="003F115C"/>
    <w:rsid w:val="003F1FCC"/>
    <w:rsid w:val="003F54B2"/>
    <w:rsid w:val="003F5CFC"/>
    <w:rsid w:val="003F7451"/>
    <w:rsid w:val="00403C30"/>
    <w:rsid w:val="00405ACF"/>
    <w:rsid w:val="00413E88"/>
    <w:rsid w:val="00420E05"/>
    <w:rsid w:val="004265A6"/>
    <w:rsid w:val="00435FE5"/>
    <w:rsid w:val="00437C0D"/>
    <w:rsid w:val="00443A1F"/>
    <w:rsid w:val="004447DF"/>
    <w:rsid w:val="0044659F"/>
    <w:rsid w:val="0044747B"/>
    <w:rsid w:val="004565AA"/>
    <w:rsid w:val="00460CFD"/>
    <w:rsid w:val="00464AA5"/>
    <w:rsid w:val="00464DC9"/>
    <w:rsid w:val="00464EBF"/>
    <w:rsid w:val="004651BF"/>
    <w:rsid w:val="00470C15"/>
    <w:rsid w:val="00470E1E"/>
    <w:rsid w:val="004721CC"/>
    <w:rsid w:val="00474416"/>
    <w:rsid w:val="0047515C"/>
    <w:rsid w:val="004845CD"/>
    <w:rsid w:val="00484AC6"/>
    <w:rsid w:val="004854B3"/>
    <w:rsid w:val="00487EB2"/>
    <w:rsid w:val="004906ED"/>
    <w:rsid w:val="00490BA2"/>
    <w:rsid w:val="00495368"/>
    <w:rsid w:val="004957A7"/>
    <w:rsid w:val="00496DD4"/>
    <w:rsid w:val="004973F4"/>
    <w:rsid w:val="004A024D"/>
    <w:rsid w:val="004A419C"/>
    <w:rsid w:val="004A5D60"/>
    <w:rsid w:val="004A674C"/>
    <w:rsid w:val="004B5AF7"/>
    <w:rsid w:val="004B7F55"/>
    <w:rsid w:val="004C409C"/>
    <w:rsid w:val="004C6600"/>
    <w:rsid w:val="004D17FF"/>
    <w:rsid w:val="004D1993"/>
    <w:rsid w:val="004D7ED0"/>
    <w:rsid w:val="004E4858"/>
    <w:rsid w:val="004E4AF5"/>
    <w:rsid w:val="004F0FB9"/>
    <w:rsid w:val="004F5A2D"/>
    <w:rsid w:val="005024DE"/>
    <w:rsid w:val="00503711"/>
    <w:rsid w:val="005041A0"/>
    <w:rsid w:val="00507939"/>
    <w:rsid w:val="005113F9"/>
    <w:rsid w:val="005162D2"/>
    <w:rsid w:val="00516D46"/>
    <w:rsid w:val="00517D8D"/>
    <w:rsid w:val="005227E4"/>
    <w:rsid w:val="0052284B"/>
    <w:rsid w:val="00522A41"/>
    <w:rsid w:val="00522E2A"/>
    <w:rsid w:val="0052522E"/>
    <w:rsid w:val="00526960"/>
    <w:rsid w:val="00545972"/>
    <w:rsid w:val="00545E97"/>
    <w:rsid w:val="00545F18"/>
    <w:rsid w:val="005504E9"/>
    <w:rsid w:val="005515B5"/>
    <w:rsid w:val="00553586"/>
    <w:rsid w:val="00554EF3"/>
    <w:rsid w:val="00564C21"/>
    <w:rsid w:val="0056688D"/>
    <w:rsid w:val="005668AC"/>
    <w:rsid w:val="005669E8"/>
    <w:rsid w:val="00574E5B"/>
    <w:rsid w:val="00575FE9"/>
    <w:rsid w:val="00576DA9"/>
    <w:rsid w:val="005808A4"/>
    <w:rsid w:val="00584972"/>
    <w:rsid w:val="00584E77"/>
    <w:rsid w:val="00590884"/>
    <w:rsid w:val="0059183A"/>
    <w:rsid w:val="00592E5E"/>
    <w:rsid w:val="005A09D2"/>
    <w:rsid w:val="005A2953"/>
    <w:rsid w:val="005A33E8"/>
    <w:rsid w:val="005B032F"/>
    <w:rsid w:val="005B1189"/>
    <w:rsid w:val="005B1832"/>
    <w:rsid w:val="005B35D1"/>
    <w:rsid w:val="005B5224"/>
    <w:rsid w:val="005C4268"/>
    <w:rsid w:val="005D1501"/>
    <w:rsid w:val="005D2D4F"/>
    <w:rsid w:val="005D7876"/>
    <w:rsid w:val="005E3AF4"/>
    <w:rsid w:val="005F66DD"/>
    <w:rsid w:val="00601EAA"/>
    <w:rsid w:val="00602838"/>
    <w:rsid w:val="00602F7B"/>
    <w:rsid w:val="006061F4"/>
    <w:rsid w:val="0060720D"/>
    <w:rsid w:val="006105D6"/>
    <w:rsid w:val="006106A3"/>
    <w:rsid w:val="00612D19"/>
    <w:rsid w:val="00617C64"/>
    <w:rsid w:val="00617DEA"/>
    <w:rsid w:val="006203EC"/>
    <w:rsid w:val="00622937"/>
    <w:rsid w:val="0062303E"/>
    <w:rsid w:val="006265F8"/>
    <w:rsid w:val="0064352D"/>
    <w:rsid w:val="00644641"/>
    <w:rsid w:val="00650B23"/>
    <w:rsid w:val="006518BC"/>
    <w:rsid w:val="00652F14"/>
    <w:rsid w:val="006530D2"/>
    <w:rsid w:val="006577B5"/>
    <w:rsid w:val="006614C5"/>
    <w:rsid w:val="00662B38"/>
    <w:rsid w:val="00667438"/>
    <w:rsid w:val="00674FB9"/>
    <w:rsid w:val="00677DEA"/>
    <w:rsid w:val="00680823"/>
    <w:rsid w:val="006858DC"/>
    <w:rsid w:val="00686807"/>
    <w:rsid w:val="006868CF"/>
    <w:rsid w:val="0069094B"/>
    <w:rsid w:val="006927D2"/>
    <w:rsid w:val="00693F1A"/>
    <w:rsid w:val="00694FD7"/>
    <w:rsid w:val="006969F1"/>
    <w:rsid w:val="006C1D81"/>
    <w:rsid w:val="006C624C"/>
    <w:rsid w:val="006D129E"/>
    <w:rsid w:val="006D175F"/>
    <w:rsid w:val="006D229F"/>
    <w:rsid w:val="006E13F5"/>
    <w:rsid w:val="006E1518"/>
    <w:rsid w:val="006E1614"/>
    <w:rsid w:val="006E3D31"/>
    <w:rsid w:val="006E5D10"/>
    <w:rsid w:val="006E64DA"/>
    <w:rsid w:val="006E689A"/>
    <w:rsid w:val="006E75DB"/>
    <w:rsid w:val="006F60BE"/>
    <w:rsid w:val="006F7DF2"/>
    <w:rsid w:val="007016E0"/>
    <w:rsid w:val="007074AC"/>
    <w:rsid w:val="00710D48"/>
    <w:rsid w:val="007119E4"/>
    <w:rsid w:val="00712E21"/>
    <w:rsid w:val="0071606E"/>
    <w:rsid w:val="00717255"/>
    <w:rsid w:val="007232FF"/>
    <w:rsid w:val="00725A39"/>
    <w:rsid w:val="007275AF"/>
    <w:rsid w:val="00734BFD"/>
    <w:rsid w:val="0073754A"/>
    <w:rsid w:val="007378DB"/>
    <w:rsid w:val="00740ACC"/>
    <w:rsid w:val="00741DC0"/>
    <w:rsid w:val="007435AB"/>
    <w:rsid w:val="0074525E"/>
    <w:rsid w:val="00756011"/>
    <w:rsid w:val="0075635F"/>
    <w:rsid w:val="00761863"/>
    <w:rsid w:val="00763ED2"/>
    <w:rsid w:val="007645DB"/>
    <w:rsid w:val="00765DCC"/>
    <w:rsid w:val="007669AF"/>
    <w:rsid w:val="007700EB"/>
    <w:rsid w:val="00771BDD"/>
    <w:rsid w:val="00776BDB"/>
    <w:rsid w:val="007770C1"/>
    <w:rsid w:val="00781BE5"/>
    <w:rsid w:val="00783199"/>
    <w:rsid w:val="007841F2"/>
    <w:rsid w:val="00784D3F"/>
    <w:rsid w:val="00792F23"/>
    <w:rsid w:val="007A68F7"/>
    <w:rsid w:val="007B1C9D"/>
    <w:rsid w:val="007B529A"/>
    <w:rsid w:val="007B71BB"/>
    <w:rsid w:val="007C6CE3"/>
    <w:rsid w:val="007C6F7B"/>
    <w:rsid w:val="007D03B4"/>
    <w:rsid w:val="007D1A2F"/>
    <w:rsid w:val="007D4F08"/>
    <w:rsid w:val="007D6FF2"/>
    <w:rsid w:val="007F27A6"/>
    <w:rsid w:val="007F5B9C"/>
    <w:rsid w:val="007F5F4A"/>
    <w:rsid w:val="00802830"/>
    <w:rsid w:val="00804A07"/>
    <w:rsid w:val="00806D32"/>
    <w:rsid w:val="00811D20"/>
    <w:rsid w:val="00816238"/>
    <w:rsid w:val="0081683F"/>
    <w:rsid w:val="008202DB"/>
    <w:rsid w:val="00822AE1"/>
    <w:rsid w:val="00830F24"/>
    <w:rsid w:val="00842A5F"/>
    <w:rsid w:val="00842D68"/>
    <w:rsid w:val="008452D7"/>
    <w:rsid w:val="00847DB3"/>
    <w:rsid w:val="0086458C"/>
    <w:rsid w:val="00865D24"/>
    <w:rsid w:val="0087240B"/>
    <w:rsid w:val="00872E7B"/>
    <w:rsid w:val="0087311E"/>
    <w:rsid w:val="00875E83"/>
    <w:rsid w:val="0087787A"/>
    <w:rsid w:val="00881FF0"/>
    <w:rsid w:val="00887977"/>
    <w:rsid w:val="00896A15"/>
    <w:rsid w:val="008A0D50"/>
    <w:rsid w:val="008A7852"/>
    <w:rsid w:val="008B2C8C"/>
    <w:rsid w:val="008B51D4"/>
    <w:rsid w:val="008B59A1"/>
    <w:rsid w:val="008B7014"/>
    <w:rsid w:val="008C4D53"/>
    <w:rsid w:val="008D2DF7"/>
    <w:rsid w:val="008D500C"/>
    <w:rsid w:val="008D59B0"/>
    <w:rsid w:val="008D6660"/>
    <w:rsid w:val="008E37CD"/>
    <w:rsid w:val="008E3D76"/>
    <w:rsid w:val="008E5C65"/>
    <w:rsid w:val="008F0318"/>
    <w:rsid w:val="008F320F"/>
    <w:rsid w:val="008F3688"/>
    <w:rsid w:val="008F56AD"/>
    <w:rsid w:val="00901429"/>
    <w:rsid w:val="00905087"/>
    <w:rsid w:val="00905BD3"/>
    <w:rsid w:val="00905F4B"/>
    <w:rsid w:val="0090798C"/>
    <w:rsid w:val="00910A15"/>
    <w:rsid w:val="00911B0D"/>
    <w:rsid w:val="009161BE"/>
    <w:rsid w:val="009165E2"/>
    <w:rsid w:val="00916E9D"/>
    <w:rsid w:val="00922886"/>
    <w:rsid w:val="00922F52"/>
    <w:rsid w:val="00930A27"/>
    <w:rsid w:val="00934121"/>
    <w:rsid w:val="00940AB3"/>
    <w:rsid w:val="00945E54"/>
    <w:rsid w:val="009548F8"/>
    <w:rsid w:val="009549FB"/>
    <w:rsid w:val="00954E1A"/>
    <w:rsid w:val="00963C87"/>
    <w:rsid w:val="00964093"/>
    <w:rsid w:val="00970E4C"/>
    <w:rsid w:val="0097144C"/>
    <w:rsid w:val="00971A6A"/>
    <w:rsid w:val="00971F38"/>
    <w:rsid w:val="009739B2"/>
    <w:rsid w:val="0098324E"/>
    <w:rsid w:val="009852BC"/>
    <w:rsid w:val="00986321"/>
    <w:rsid w:val="00986E43"/>
    <w:rsid w:val="00991BDE"/>
    <w:rsid w:val="00992047"/>
    <w:rsid w:val="009922DA"/>
    <w:rsid w:val="009A043E"/>
    <w:rsid w:val="009A0C04"/>
    <w:rsid w:val="009A2B2B"/>
    <w:rsid w:val="009B454F"/>
    <w:rsid w:val="009B678E"/>
    <w:rsid w:val="009C595C"/>
    <w:rsid w:val="009C6609"/>
    <w:rsid w:val="009D2565"/>
    <w:rsid w:val="009D415D"/>
    <w:rsid w:val="009E2EEB"/>
    <w:rsid w:val="009F0232"/>
    <w:rsid w:val="009F3F4F"/>
    <w:rsid w:val="009F791F"/>
    <w:rsid w:val="00A01D81"/>
    <w:rsid w:val="00A03753"/>
    <w:rsid w:val="00A0637B"/>
    <w:rsid w:val="00A07EC6"/>
    <w:rsid w:val="00A16E64"/>
    <w:rsid w:val="00A250A2"/>
    <w:rsid w:val="00A27857"/>
    <w:rsid w:val="00A34F42"/>
    <w:rsid w:val="00A43BDD"/>
    <w:rsid w:val="00A46E78"/>
    <w:rsid w:val="00A5324B"/>
    <w:rsid w:val="00A55BE8"/>
    <w:rsid w:val="00A61352"/>
    <w:rsid w:val="00A66AB8"/>
    <w:rsid w:val="00A66D62"/>
    <w:rsid w:val="00A70DFE"/>
    <w:rsid w:val="00A740CC"/>
    <w:rsid w:val="00A8386E"/>
    <w:rsid w:val="00A84094"/>
    <w:rsid w:val="00A87DB6"/>
    <w:rsid w:val="00A905B1"/>
    <w:rsid w:val="00A9125B"/>
    <w:rsid w:val="00A91EF8"/>
    <w:rsid w:val="00A9298F"/>
    <w:rsid w:val="00A929D4"/>
    <w:rsid w:val="00A94F83"/>
    <w:rsid w:val="00A96396"/>
    <w:rsid w:val="00AA0278"/>
    <w:rsid w:val="00AA1D83"/>
    <w:rsid w:val="00AA2679"/>
    <w:rsid w:val="00AA7407"/>
    <w:rsid w:val="00AB126B"/>
    <w:rsid w:val="00AB29EC"/>
    <w:rsid w:val="00AB4043"/>
    <w:rsid w:val="00AB49A3"/>
    <w:rsid w:val="00AB68A0"/>
    <w:rsid w:val="00AD2716"/>
    <w:rsid w:val="00AD4A6E"/>
    <w:rsid w:val="00AD5CFB"/>
    <w:rsid w:val="00AD6E00"/>
    <w:rsid w:val="00AE1662"/>
    <w:rsid w:val="00AE188C"/>
    <w:rsid w:val="00AE3B3F"/>
    <w:rsid w:val="00AE495E"/>
    <w:rsid w:val="00AF4B32"/>
    <w:rsid w:val="00AF4D93"/>
    <w:rsid w:val="00AF6B19"/>
    <w:rsid w:val="00AF6B63"/>
    <w:rsid w:val="00B033E9"/>
    <w:rsid w:val="00B12860"/>
    <w:rsid w:val="00B13B81"/>
    <w:rsid w:val="00B1526A"/>
    <w:rsid w:val="00B1722D"/>
    <w:rsid w:val="00B26984"/>
    <w:rsid w:val="00B34695"/>
    <w:rsid w:val="00B36DDA"/>
    <w:rsid w:val="00B37AE1"/>
    <w:rsid w:val="00B400F4"/>
    <w:rsid w:val="00B41365"/>
    <w:rsid w:val="00B52EBF"/>
    <w:rsid w:val="00B548C3"/>
    <w:rsid w:val="00B64248"/>
    <w:rsid w:val="00B64CAE"/>
    <w:rsid w:val="00B73306"/>
    <w:rsid w:val="00B7449F"/>
    <w:rsid w:val="00B744D5"/>
    <w:rsid w:val="00B80E89"/>
    <w:rsid w:val="00B81135"/>
    <w:rsid w:val="00B84923"/>
    <w:rsid w:val="00B927AF"/>
    <w:rsid w:val="00B94997"/>
    <w:rsid w:val="00B957FF"/>
    <w:rsid w:val="00BA280C"/>
    <w:rsid w:val="00BA69B4"/>
    <w:rsid w:val="00BB12DB"/>
    <w:rsid w:val="00BB1A55"/>
    <w:rsid w:val="00BB315B"/>
    <w:rsid w:val="00BB7C98"/>
    <w:rsid w:val="00BC3EE1"/>
    <w:rsid w:val="00BC7431"/>
    <w:rsid w:val="00BD40AB"/>
    <w:rsid w:val="00BD5542"/>
    <w:rsid w:val="00BE0840"/>
    <w:rsid w:val="00BE5A60"/>
    <w:rsid w:val="00BE5C4E"/>
    <w:rsid w:val="00BE5C6A"/>
    <w:rsid w:val="00BE645F"/>
    <w:rsid w:val="00BF6D00"/>
    <w:rsid w:val="00C001E2"/>
    <w:rsid w:val="00C05389"/>
    <w:rsid w:val="00C07496"/>
    <w:rsid w:val="00C14A5B"/>
    <w:rsid w:val="00C14BC2"/>
    <w:rsid w:val="00C20E61"/>
    <w:rsid w:val="00C21B53"/>
    <w:rsid w:val="00C241D1"/>
    <w:rsid w:val="00C30D06"/>
    <w:rsid w:val="00C32A08"/>
    <w:rsid w:val="00C36C4F"/>
    <w:rsid w:val="00C46B9D"/>
    <w:rsid w:val="00C474BA"/>
    <w:rsid w:val="00C51BCD"/>
    <w:rsid w:val="00C54F6E"/>
    <w:rsid w:val="00C73315"/>
    <w:rsid w:val="00C74D89"/>
    <w:rsid w:val="00C7752C"/>
    <w:rsid w:val="00C82E48"/>
    <w:rsid w:val="00C833CC"/>
    <w:rsid w:val="00C86393"/>
    <w:rsid w:val="00C87ED5"/>
    <w:rsid w:val="00C911A6"/>
    <w:rsid w:val="00C91699"/>
    <w:rsid w:val="00C921FE"/>
    <w:rsid w:val="00C93689"/>
    <w:rsid w:val="00C9448B"/>
    <w:rsid w:val="00C95662"/>
    <w:rsid w:val="00C95AB1"/>
    <w:rsid w:val="00C969CC"/>
    <w:rsid w:val="00CA3DB7"/>
    <w:rsid w:val="00CA5270"/>
    <w:rsid w:val="00CA70D8"/>
    <w:rsid w:val="00CA7722"/>
    <w:rsid w:val="00CB457B"/>
    <w:rsid w:val="00CB6CE6"/>
    <w:rsid w:val="00CC0241"/>
    <w:rsid w:val="00CD1B2E"/>
    <w:rsid w:val="00CD2859"/>
    <w:rsid w:val="00CD3A2F"/>
    <w:rsid w:val="00CE0A95"/>
    <w:rsid w:val="00CE1529"/>
    <w:rsid w:val="00CE1EAB"/>
    <w:rsid w:val="00CE2018"/>
    <w:rsid w:val="00CE6C34"/>
    <w:rsid w:val="00CE7E5C"/>
    <w:rsid w:val="00CF2FFA"/>
    <w:rsid w:val="00CF3963"/>
    <w:rsid w:val="00CF4FB1"/>
    <w:rsid w:val="00D01B3C"/>
    <w:rsid w:val="00D02A85"/>
    <w:rsid w:val="00D04679"/>
    <w:rsid w:val="00D06401"/>
    <w:rsid w:val="00D202EC"/>
    <w:rsid w:val="00D211CE"/>
    <w:rsid w:val="00D24F5A"/>
    <w:rsid w:val="00D266DC"/>
    <w:rsid w:val="00D27E27"/>
    <w:rsid w:val="00D3131E"/>
    <w:rsid w:val="00D350BF"/>
    <w:rsid w:val="00D351BD"/>
    <w:rsid w:val="00D359B1"/>
    <w:rsid w:val="00D36FB2"/>
    <w:rsid w:val="00D40D2B"/>
    <w:rsid w:val="00D46763"/>
    <w:rsid w:val="00D473BA"/>
    <w:rsid w:val="00D528B0"/>
    <w:rsid w:val="00D541E4"/>
    <w:rsid w:val="00D60B43"/>
    <w:rsid w:val="00D6104D"/>
    <w:rsid w:val="00D63C26"/>
    <w:rsid w:val="00D66F4B"/>
    <w:rsid w:val="00D71510"/>
    <w:rsid w:val="00D72FE3"/>
    <w:rsid w:val="00D82ADB"/>
    <w:rsid w:val="00D85667"/>
    <w:rsid w:val="00D874E5"/>
    <w:rsid w:val="00D94701"/>
    <w:rsid w:val="00D978E3"/>
    <w:rsid w:val="00DA0788"/>
    <w:rsid w:val="00DA22C6"/>
    <w:rsid w:val="00DB397E"/>
    <w:rsid w:val="00DB512C"/>
    <w:rsid w:val="00DB5CAA"/>
    <w:rsid w:val="00DB6EEC"/>
    <w:rsid w:val="00DC2506"/>
    <w:rsid w:val="00DC5A2B"/>
    <w:rsid w:val="00DC5D7C"/>
    <w:rsid w:val="00DD0559"/>
    <w:rsid w:val="00DD236C"/>
    <w:rsid w:val="00DD45EB"/>
    <w:rsid w:val="00DE07B9"/>
    <w:rsid w:val="00DE105F"/>
    <w:rsid w:val="00DE1B32"/>
    <w:rsid w:val="00DE2BF3"/>
    <w:rsid w:val="00DE3ABF"/>
    <w:rsid w:val="00DE3B6A"/>
    <w:rsid w:val="00DE4DAA"/>
    <w:rsid w:val="00DE5914"/>
    <w:rsid w:val="00DF1A86"/>
    <w:rsid w:val="00DF79AC"/>
    <w:rsid w:val="00E00990"/>
    <w:rsid w:val="00E11287"/>
    <w:rsid w:val="00E1163A"/>
    <w:rsid w:val="00E13855"/>
    <w:rsid w:val="00E13E3B"/>
    <w:rsid w:val="00E16F31"/>
    <w:rsid w:val="00E17DF7"/>
    <w:rsid w:val="00E220F6"/>
    <w:rsid w:val="00E25647"/>
    <w:rsid w:val="00E26B0B"/>
    <w:rsid w:val="00E3095D"/>
    <w:rsid w:val="00E317EC"/>
    <w:rsid w:val="00E32F94"/>
    <w:rsid w:val="00E367E4"/>
    <w:rsid w:val="00E40BF1"/>
    <w:rsid w:val="00E51088"/>
    <w:rsid w:val="00E512D1"/>
    <w:rsid w:val="00E53613"/>
    <w:rsid w:val="00E55EA1"/>
    <w:rsid w:val="00E5700E"/>
    <w:rsid w:val="00E600FB"/>
    <w:rsid w:val="00E65FCD"/>
    <w:rsid w:val="00E676EB"/>
    <w:rsid w:val="00E70867"/>
    <w:rsid w:val="00E70AD0"/>
    <w:rsid w:val="00E73D45"/>
    <w:rsid w:val="00E74B2A"/>
    <w:rsid w:val="00E75EBE"/>
    <w:rsid w:val="00E765B1"/>
    <w:rsid w:val="00E84B47"/>
    <w:rsid w:val="00E84F76"/>
    <w:rsid w:val="00E90273"/>
    <w:rsid w:val="00E90FF0"/>
    <w:rsid w:val="00E910F0"/>
    <w:rsid w:val="00E92DCB"/>
    <w:rsid w:val="00E93E64"/>
    <w:rsid w:val="00EA3735"/>
    <w:rsid w:val="00EA3A35"/>
    <w:rsid w:val="00EA4618"/>
    <w:rsid w:val="00EB00D3"/>
    <w:rsid w:val="00EB118B"/>
    <w:rsid w:val="00EB45EB"/>
    <w:rsid w:val="00EB5402"/>
    <w:rsid w:val="00EB590A"/>
    <w:rsid w:val="00EC2866"/>
    <w:rsid w:val="00ED01E2"/>
    <w:rsid w:val="00ED2758"/>
    <w:rsid w:val="00ED2EA3"/>
    <w:rsid w:val="00ED4855"/>
    <w:rsid w:val="00ED5C86"/>
    <w:rsid w:val="00EE3C28"/>
    <w:rsid w:val="00EE454F"/>
    <w:rsid w:val="00EE6228"/>
    <w:rsid w:val="00EF0CF8"/>
    <w:rsid w:val="00EF15F4"/>
    <w:rsid w:val="00F06655"/>
    <w:rsid w:val="00F105F3"/>
    <w:rsid w:val="00F17F07"/>
    <w:rsid w:val="00F22361"/>
    <w:rsid w:val="00F22F60"/>
    <w:rsid w:val="00F249F2"/>
    <w:rsid w:val="00F24FFB"/>
    <w:rsid w:val="00F277E1"/>
    <w:rsid w:val="00F27BDD"/>
    <w:rsid w:val="00F31176"/>
    <w:rsid w:val="00F31C9D"/>
    <w:rsid w:val="00F33425"/>
    <w:rsid w:val="00F35577"/>
    <w:rsid w:val="00F35CAD"/>
    <w:rsid w:val="00F365C1"/>
    <w:rsid w:val="00F402D7"/>
    <w:rsid w:val="00F4475F"/>
    <w:rsid w:val="00F44EF4"/>
    <w:rsid w:val="00F44F95"/>
    <w:rsid w:val="00F46B96"/>
    <w:rsid w:val="00F52496"/>
    <w:rsid w:val="00F53D32"/>
    <w:rsid w:val="00F55AFB"/>
    <w:rsid w:val="00F569BE"/>
    <w:rsid w:val="00F6439A"/>
    <w:rsid w:val="00F71B54"/>
    <w:rsid w:val="00F72D22"/>
    <w:rsid w:val="00F748F4"/>
    <w:rsid w:val="00F75676"/>
    <w:rsid w:val="00F7615F"/>
    <w:rsid w:val="00F7714D"/>
    <w:rsid w:val="00F800CD"/>
    <w:rsid w:val="00F800D6"/>
    <w:rsid w:val="00F84CCF"/>
    <w:rsid w:val="00F8517E"/>
    <w:rsid w:val="00F86B20"/>
    <w:rsid w:val="00F9586D"/>
    <w:rsid w:val="00F95EC4"/>
    <w:rsid w:val="00F97BA1"/>
    <w:rsid w:val="00FA3E0E"/>
    <w:rsid w:val="00FA6A6C"/>
    <w:rsid w:val="00FB1DA0"/>
    <w:rsid w:val="00FB3852"/>
    <w:rsid w:val="00FB43A1"/>
    <w:rsid w:val="00FC1035"/>
    <w:rsid w:val="00FC43BA"/>
    <w:rsid w:val="00FC752D"/>
    <w:rsid w:val="00FD0BD1"/>
    <w:rsid w:val="00FD3D68"/>
    <w:rsid w:val="00FD41FF"/>
    <w:rsid w:val="00FD4239"/>
    <w:rsid w:val="00FD46AF"/>
    <w:rsid w:val="00FD4B48"/>
    <w:rsid w:val="00FD5BCF"/>
    <w:rsid w:val="00FD652A"/>
    <w:rsid w:val="00FE0879"/>
    <w:rsid w:val="00FE7861"/>
    <w:rsid w:val="00FF0831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64E845A"/>
  <w15:chartTrackingRefBased/>
  <w15:docId w15:val="{CA65F547-F99B-46F1-82D9-7A816B1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CF2FFA"/>
    <w:pPr>
      <w:spacing w:before="60" w:after="12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1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1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1565B5"/>
    <w:rPr>
      <w:vertAlign w:val="superscript"/>
    </w:rPr>
  </w:style>
  <w:style w:type="paragraph" w:styleId="Rubrik">
    <w:name w:val="Title"/>
    <w:aliases w:val="Rubriknivå 1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aliases w:val="Rubriknivå 1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2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3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59183A"/>
    <w:pPr>
      <w:spacing w:before="0"/>
    </w:pPr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RKnormal">
    <w:name w:val="RKnormal"/>
    <w:basedOn w:val="Normal"/>
    <w:rsid w:val="00273F34"/>
    <w:pPr>
      <w:tabs>
        <w:tab w:val="left" w:pos="2835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Palatino Linotype" w:eastAsia="Times New Roman" w:hAnsi="Palatino Linotype" w:cs="Times New Roman"/>
      <w:szCs w:val="20"/>
      <w:lang w:eastAsia="en-US"/>
    </w:rPr>
  </w:style>
  <w:style w:type="paragraph" w:styleId="Liststycke">
    <w:name w:val="List Paragraph"/>
    <w:aliases w:val="Code"/>
    <w:basedOn w:val="Normal"/>
    <w:link w:val="ListstyckeChar"/>
    <w:uiPriority w:val="34"/>
    <w:qFormat/>
    <w:rsid w:val="0037202E"/>
    <w:pPr>
      <w:spacing w:before="0"/>
      <w:ind w:left="1304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ListstyckeChar">
    <w:name w:val="Liststycke Char"/>
    <w:aliases w:val="Code Char"/>
    <w:link w:val="Liststycke"/>
    <w:uiPriority w:val="34"/>
    <w:rsid w:val="0037202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Rubrikniv3">
    <w:name w:val="Rubriknivå 3"/>
    <w:basedOn w:val="Normal"/>
    <w:link w:val="Rubrikniv3Char"/>
    <w:qFormat/>
    <w:rsid w:val="00CF2FFA"/>
    <w:pPr>
      <w:spacing w:before="240" w:after="60"/>
    </w:pPr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character" w:customStyle="1" w:styleId="Rubrikniv3Char">
    <w:name w:val="Rubriknivå 3 Char"/>
    <w:basedOn w:val="Standardstycketeckensnitt"/>
    <w:link w:val="Rubrikniv3"/>
    <w:rsid w:val="00CF2FFA"/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paragraph" w:customStyle="1" w:styleId="ParaAttribute1">
    <w:name w:val="ParaAttribute1"/>
    <w:rsid w:val="00CF2FFA"/>
    <w:pPr>
      <w:widowControl w:val="0"/>
      <w:wordWrap w:val="0"/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2">
    <w:name w:val="CharAttribute2"/>
    <w:rsid w:val="00CF2FFA"/>
    <w:rPr>
      <w:rFonts w:ascii="Times New Roman" w:eastAsia="Times New Roman"/>
    </w:rPr>
  </w:style>
  <w:style w:type="character" w:customStyle="1" w:styleId="CharAttribute3">
    <w:name w:val="CharAttribute3"/>
    <w:rsid w:val="00CF2FFA"/>
    <w:rPr>
      <w:rFonts w:ascii="Times New Roman" w:eastAsia="Times New Roman"/>
      <w:i/>
    </w:rPr>
  </w:style>
  <w:style w:type="character" w:customStyle="1" w:styleId="CharAttribute4">
    <w:name w:val="CharAttribute4"/>
    <w:rsid w:val="00CF2FFA"/>
    <w:rPr>
      <w:rFonts w:ascii="Times New Roman" w:eastAsia="Times New Roman"/>
      <w:sz w:val="16"/>
    </w:rPr>
  </w:style>
  <w:style w:type="paragraph" w:customStyle="1" w:styleId="Rubrikniv2">
    <w:name w:val="Rubriknivå 2"/>
    <w:basedOn w:val="Normal"/>
    <w:link w:val="Rubrikniv2Char"/>
    <w:qFormat/>
    <w:rsid w:val="00CF2FFA"/>
    <w:pPr>
      <w:numPr>
        <w:ilvl w:val="1"/>
        <w:numId w:val="6"/>
      </w:numPr>
      <w:spacing w:before="240" w:after="100"/>
    </w:pPr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customStyle="1" w:styleId="Rubrikniv2Char">
    <w:name w:val="Rubriknivå 2 Char"/>
    <w:basedOn w:val="Standardstycketeckensnitt"/>
    <w:link w:val="Rubrikniv2"/>
    <w:rsid w:val="00CF2FFA"/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2F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F2FFA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F2F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2F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2FFA"/>
    <w:rPr>
      <w:b/>
      <w:bCs/>
      <w:sz w:val="20"/>
      <w:szCs w:val="20"/>
    </w:rPr>
  </w:style>
  <w:style w:type="paragraph" w:customStyle="1" w:styleId="Indrag">
    <w:name w:val="Indrag"/>
    <w:basedOn w:val="Normal"/>
    <w:qFormat/>
    <w:rsid w:val="00CF2FFA"/>
    <w:pPr>
      <w:spacing w:before="0"/>
      <w:ind w:firstLine="284"/>
      <w:jc w:val="both"/>
    </w:pPr>
    <w:rPr>
      <w:rFonts w:ascii="Palatino Linotype" w:eastAsia="Times New Roman" w:hAnsi="Palatino Linotype" w:cs="Times New Roman"/>
      <w:sz w:val="22"/>
      <w:lang w:eastAsia="sv-SE"/>
    </w:rPr>
  </w:style>
  <w:style w:type="paragraph" w:customStyle="1" w:styleId="Default">
    <w:name w:val="Default"/>
    <w:rsid w:val="00CF2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table" w:styleId="Rutntstabell1ljusdekorfrg1">
    <w:name w:val="Grid Table 1 Light Accent 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">
    <w:name w:val="Rutnätstabell 1 ljus – dekorfärg 1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CF2FFA"/>
    <w:rPr>
      <w:color w:val="954F72" w:themeColor="followedHyperlink"/>
      <w:u w:val="single"/>
    </w:rPr>
  </w:style>
  <w:style w:type="character" w:customStyle="1" w:styleId="institutions-avdnamn">
    <w:name w:val="institutions-/avd.namn"/>
    <w:basedOn w:val="Standardstycketeckensnitt"/>
    <w:rsid w:val="00CF2FFA"/>
    <w:rPr>
      <w:rFonts w:ascii="Arial Black" w:hAnsi="Arial Black"/>
      <w:sz w:val="20"/>
    </w:rPr>
  </w:style>
  <w:style w:type="numbering" w:customStyle="1" w:styleId="Listformatpunktlista">
    <w:name w:val="Listformat punktlista"/>
    <w:uiPriority w:val="99"/>
    <w:rsid w:val="00CF2FFA"/>
    <w:pPr>
      <w:numPr>
        <w:numId w:val="7"/>
      </w:numPr>
    </w:pPr>
  </w:style>
  <w:style w:type="numbering" w:customStyle="1" w:styleId="Ingenlista1">
    <w:name w:val="Ingen lista1"/>
    <w:next w:val="Ingenlista"/>
    <w:uiPriority w:val="99"/>
    <w:semiHidden/>
    <w:unhideWhenUsed/>
    <w:rsid w:val="003F1FCC"/>
  </w:style>
  <w:style w:type="table" w:customStyle="1" w:styleId="Tabellrutnt1">
    <w:name w:val="Tabellrutnät1"/>
    <w:basedOn w:val="Normaltabell"/>
    <w:next w:val="Tabellrutnt"/>
    <w:uiPriority w:val="39"/>
    <w:rsid w:val="003F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formatnumreradlista1">
    <w:name w:val="Listformat numrerad lista1"/>
    <w:uiPriority w:val="99"/>
    <w:rsid w:val="003F1FCC"/>
  </w:style>
  <w:style w:type="numbering" w:customStyle="1" w:styleId="Listformatnumreraderubriker1">
    <w:name w:val="Listformat numrerade rubriker1"/>
    <w:uiPriority w:val="99"/>
    <w:rsid w:val="003F1FCC"/>
  </w:style>
  <w:style w:type="numbering" w:customStyle="1" w:styleId="Listformatpunktlista21">
    <w:name w:val="Listformat punktlista21"/>
    <w:uiPriority w:val="99"/>
    <w:rsid w:val="003F1FCC"/>
  </w:style>
  <w:style w:type="table" w:customStyle="1" w:styleId="Rutntstabell1ljusdekorfrg12">
    <w:name w:val="Rutnätstabell 1 ljus – dekorfärg 12"/>
    <w:basedOn w:val="Normaltabell"/>
    <w:next w:val="Rutntstabell1ljusdekorfrg1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2">
    <w:name w:val="Rutnätstabell 22"/>
    <w:basedOn w:val="Normaltabell"/>
    <w:next w:val="Rutntstabell2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1">
    <w:name w:val="Rutnätstabell 1 ljus – dekorfärg 111"/>
    <w:basedOn w:val="Normaltabell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1">
    <w:name w:val="Rutnätstabell 211"/>
    <w:basedOn w:val="Normaltabell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formatpunktlista1">
    <w:name w:val="Listformat punktlista1"/>
    <w:uiPriority w:val="99"/>
    <w:rsid w:val="003F1FCC"/>
    <w:pPr>
      <w:numPr>
        <w:numId w:val="8"/>
      </w:numPr>
    </w:pPr>
  </w:style>
  <w:style w:type="table" w:customStyle="1" w:styleId="Tabellrutnt2">
    <w:name w:val="Tabellrutnät2"/>
    <w:basedOn w:val="Normaltabell"/>
    <w:next w:val="Tabellrutnt"/>
    <w:uiPriority w:val="39"/>
    <w:rsid w:val="0027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frteckning">
    <w:name w:val="table of figures"/>
    <w:basedOn w:val="Normal"/>
    <w:next w:val="Normal"/>
    <w:uiPriority w:val="99"/>
    <w:unhideWhenUsed/>
    <w:rsid w:val="00D71510"/>
    <w:pPr>
      <w:spacing w:after="0"/>
    </w:pPr>
  </w:style>
  <w:style w:type="character" w:styleId="Olstomnmnande">
    <w:name w:val="Unresolved Mention"/>
    <w:basedOn w:val="Standardstycketeckensnitt"/>
    <w:uiPriority w:val="99"/>
    <w:semiHidden/>
    <w:unhideWhenUsed/>
    <w:rsid w:val="0021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nast%2011%20oktober%20ska%20respektive%20fakultet%20och%20f&#246;rvaltning%20skicka%20f&#246;rslag%20p&#229;%20universitets&#246;vergripande%20aktiviteter%20till%20Universitetsledningens%20stab.%20Den%20interna%20tidplanen%20s&#228;tts%20av%20respektive%20fakultet%20och%20f&#246;rvaltning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ve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281B-6BDD-42A7-8796-076F0C4E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241</TotalTime>
  <Pages>6</Pages>
  <Words>667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Vesslegård Mona</dc:creator>
  <cp:keywords/>
  <dc:description/>
  <cp:lastModifiedBy>Vesslegård, Mona</cp:lastModifiedBy>
  <cp:revision>37</cp:revision>
  <cp:lastPrinted>2015-06-09T07:57:00Z</cp:lastPrinted>
  <dcterms:created xsi:type="dcterms:W3CDTF">2020-06-23T10:28:00Z</dcterms:created>
  <dcterms:modified xsi:type="dcterms:W3CDTF">2023-02-28T09:43:00Z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